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67" w:rsidRDefault="00574EBD" w:rsidP="00AB563A">
      <w:pPr>
        <w:jc w:val="right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-695325</wp:posOffset>
            </wp:positionV>
            <wp:extent cx="1536065" cy="822325"/>
            <wp:effectExtent l="0" t="0" r="6985" b="0"/>
            <wp:wrapNone/>
            <wp:docPr id="2" name="Picture 3" descr="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optb_GDF_logo_lar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63A">
        <w:rPr>
          <w:lang w:val="en-GB"/>
        </w:rPr>
        <w:t>Annex 1</w:t>
      </w:r>
    </w:p>
    <w:p w:rsidR="000017EB" w:rsidRDefault="000017EB">
      <w:pPr>
        <w:rPr>
          <w:lang w:val="en-GB"/>
        </w:rPr>
      </w:pPr>
    </w:p>
    <w:p w:rsidR="000017EB" w:rsidRDefault="000017EB" w:rsidP="000017EB">
      <w:pPr>
        <w:jc w:val="center"/>
        <w:rPr>
          <w:b/>
          <w:bCs/>
          <w:sz w:val="28"/>
          <w:szCs w:val="28"/>
        </w:rPr>
      </w:pPr>
      <w:r w:rsidRPr="00944CA0">
        <w:rPr>
          <w:b/>
          <w:bCs/>
          <w:sz w:val="28"/>
          <w:szCs w:val="28"/>
        </w:rPr>
        <w:t>GDF Company Questionnaire</w:t>
      </w:r>
    </w:p>
    <w:p w:rsidR="00944CA0" w:rsidRPr="00944CA0" w:rsidRDefault="00944CA0" w:rsidP="000017EB">
      <w:pPr>
        <w:jc w:val="center"/>
        <w:rPr>
          <w:b/>
          <w:bCs/>
          <w:sz w:val="16"/>
          <w:szCs w:val="16"/>
        </w:rPr>
      </w:pPr>
    </w:p>
    <w:p w:rsidR="000017EB" w:rsidRPr="005C4311" w:rsidRDefault="00944CA0" w:rsidP="00176398">
      <w:pPr>
        <w:jc w:val="center"/>
        <w:rPr>
          <w:b/>
          <w:i/>
          <w:sz w:val="22"/>
          <w:szCs w:val="22"/>
        </w:rPr>
      </w:pPr>
      <w:r w:rsidRPr="005C4311">
        <w:rPr>
          <w:b/>
          <w:i/>
          <w:sz w:val="22"/>
          <w:szCs w:val="22"/>
        </w:rPr>
        <w:t xml:space="preserve">Invitation for Submission of Expressions of Interest for the supply of laboratory </w:t>
      </w:r>
      <w:r w:rsidR="00176398">
        <w:rPr>
          <w:b/>
          <w:i/>
          <w:sz w:val="22"/>
          <w:szCs w:val="22"/>
        </w:rPr>
        <w:t>instruments</w:t>
      </w:r>
      <w:r w:rsidRPr="005C4311">
        <w:rPr>
          <w:b/>
          <w:i/>
          <w:sz w:val="22"/>
          <w:szCs w:val="22"/>
        </w:rPr>
        <w:t>, tools, chemicals and consumables for diagnosis of TB and Multi Drug Resistant TB</w:t>
      </w:r>
    </w:p>
    <w:p w:rsidR="00944CA0" w:rsidRDefault="00944CA0" w:rsidP="00944CA0">
      <w:pPr>
        <w:rPr>
          <w:sz w:val="22"/>
          <w:szCs w:val="22"/>
        </w:rPr>
      </w:pPr>
    </w:p>
    <w:p w:rsidR="000017EB" w:rsidRDefault="000017EB" w:rsidP="008D071A">
      <w:pPr>
        <w:widowControl w:val="0"/>
      </w:pPr>
      <w:r>
        <w:t>Interested companies are requested to provide information and organize responses as per the following Table:</w:t>
      </w:r>
    </w:p>
    <w:p w:rsidR="000017EB" w:rsidRPr="00D83CD6" w:rsidRDefault="000017EB" w:rsidP="000017EB">
      <w:pPr>
        <w:pStyle w:val="NormalIndent"/>
        <w:widowControl w:val="0"/>
        <w:ind w:left="0"/>
        <w:rPr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0017EB" w:rsidRPr="00A712F9" w:rsidTr="00A712F9">
        <w:trPr>
          <w:cantSplit/>
          <w:tblHeader/>
        </w:trPr>
        <w:tc>
          <w:tcPr>
            <w:tcW w:w="9360" w:type="dxa"/>
            <w:shd w:val="clear" w:color="auto" w:fill="447DB5"/>
          </w:tcPr>
          <w:p w:rsidR="000017EB" w:rsidRPr="00A712F9" w:rsidRDefault="000017EB" w:rsidP="00A712F9">
            <w:pPr>
              <w:spacing w:before="60" w:after="60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/>
              </w:rPr>
              <w:t xml:space="preserve">Information on </w:t>
            </w:r>
            <w:r w:rsidR="001B0B6E" w:rsidRPr="00A712F9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/>
              </w:rPr>
              <w:t>Company</w:t>
            </w:r>
            <w:r w:rsidRPr="00A712F9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/>
              </w:rPr>
              <w:t xml:space="preserve">/Organization submitting Proposal </w:t>
            </w:r>
          </w:p>
        </w:tc>
      </w:tr>
      <w:tr w:rsidR="005C4311" w:rsidRPr="00A712F9" w:rsidTr="00A712F9">
        <w:trPr>
          <w:trHeight w:val="4778"/>
        </w:trPr>
        <w:tc>
          <w:tcPr>
            <w:tcW w:w="9360" w:type="dxa"/>
            <w:shd w:val="clear" w:color="auto" w:fill="auto"/>
          </w:tcPr>
          <w:p w:rsidR="005C4311" w:rsidRPr="00A712F9" w:rsidRDefault="005C4311" w:rsidP="00A712F9">
            <w:pPr>
              <w:numPr>
                <w:ilvl w:val="0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b/>
                <w:color w:val="17365D"/>
                <w:sz w:val="22"/>
                <w:szCs w:val="22"/>
                <w:u w:val="single"/>
                <w:lang w:val="en-GB"/>
              </w:rPr>
            </w:pPr>
            <w:r w:rsidRPr="00A712F9">
              <w:rPr>
                <w:rFonts w:eastAsia="Times New Roman"/>
                <w:b/>
                <w:color w:val="17365D"/>
                <w:sz w:val="22"/>
                <w:szCs w:val="22"/>
                <w:u w:val="single"/>
                <w:lang w:val="en-GB"/>
              </w:rPr>
              <w:t>Company Information</w:t>
            </w:r>
          </w:p>
          <w:p w:rsidR="005C4311" w:rsidRPr="00A712F9" w:rsidRDefault="005C4311" w:rsidP="00176398">
            <w:pPr>
              <w:keepNext/>
              <w:keepLines/>
              <w:spacing w:before="60" w:after="60"/>
              <w:ind w:left="720"/>
              <w:rPr>
                <w:rFonts w:eastAsia="Times New Roman"/>
                <w:b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The </w:t>
            </w:r>
            <w:r w:rsidR="00176398">
              <w:rPr>
                <w:rFonts w:eastAsia="Times New Roman"/>
                <w:sz w:val="20"/>
                <w:szCs w:val="20"/>
              </w:rPr>
              <w:t>company</w:t>
            </w:r>
            <w:r w:rsidR="00176398" w:rsidRPr="00A712F9">
              <w:rPr>
                <w:rFonts w:eastAsia="Times New Roman"/>
                <w:sz w:val="20"/>
                <w:szCs w:val="20"/>
              </w:rPr>
              <w:t xml:space="preserve"> 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shall be a registered institution operating in the field of </w:t>
            </w:r>
            <w:r w:rsidR="00AB563A">
              <w:rPr>
                <w:rFonts w:eastAsia="Times New Roman"/>
                <w:sz w:val="20"/>
                <w:szCs w:val="20"/>
                <w:lang w:val="en-GB"/>
              </w:rPr>
              <w:t>supply</w:t>
            </w:r>
            <w:r w:rsidR="00AB563A" w:rsidRPr="00A712F9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services with a proven track record of providing such services.</w:t>
            </w:r>
          </w:p>
          <w:p w:rsidR="005C4311" w:rsidRPr="00A712F9" w:rsidRDefault="005C4311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Corporate information</w:t>
            </w:r>
          </w:p>
          <w:p w:rsidR="005C4311" w:rsidRPr="00A712F9" w:rsidRDefault="005C4311" w:rsidP="00A712F9">
            <w:pPr>
              <w:spacing w:before="60" w:after="60"/>
              <w:ind w:left="720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The </w:t>
            </w:r>
            <w:bookmarkStart w:id="0" w:name="_GoBack"/>
            <w:r w:rsidR="00176398">
              <w:rPr>
                <w:rFonts w:eastAsia="Times New Roman"/>
                <w:sz w:val="20"/>
                <w:szCs w:val="20"/>
              </w:rPr>
              <w:t>respondent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</w:t>
            </w:r>
            <w:bookmarkEnd w:id="0"/>
            <w:r w:rsidRPr="00A712F9">
              <w:rPr>
                <w:rFonts w:eastAsia="Times New Roman"/>
                <w:sz w:val="20"/>
                <w:szCs w:val="20"/>
              </w:rPr>
              <w:t>is requested to submit general company information demonstrating viability of the company, including :</w:t>
            </w:r>
          </w:p>
          <w:p w:rsidR="005C4311" w:rsidRPr="00A712F9" w:rsidRDefault="005C4311" w:rsidP="00A712F9">
            <w:pPr>
              <w:numPr>
                <w:ilvl w:val="0"/>
                <w:numId w:val="16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company brochure, </w:t>
            </w:r>
          </w:p>
          <w:p w:rsidR="005C4311" w:rsidRPr="00A712F9" w:rsidRDefault="005C4311" w:rsidP="00A712F9">
            <w:pPr>
              <w:numPr>
                <w:ilvl w:val="0"/>
                <w:numId w:val="16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a recently </w:t>
            </w:r>
            <w:r w:rsidRPr="00A712F9">
              <w:rPr>
                <w:rFonts w:eastAsia="Times New Roman"/>
                <w:i/>
                <w:iCs/>
                <w:sz w:val="20"/>
                <w:szCs w:val="20"/>
              </w:rPr>
              <w:t>Certified Statement from the relevant Chamber of Commerce,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5C4311" w:rsidRPr="00A712F9" w:rsidRDefault="005C4311" w:rsidP="00A712F9">
            <w:pPr>
              <w:numPr>
                <w:ilvl w:val="0"/>
                <w:numId w:val="16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Management Board, Supervisory Board, shareholder structure, </w:t>
            </w:r>
          </w:p>
          <w:p w:rsidR="005C4311" w:rsidRPr="00A712F9" w:rsidRDefault="005C4311" w:rsidP="00A712F9">
            <w:pPr>
              <w:numPr>
                <w:ilvl w:val="0"/>
                <w:numId w:val="16"/>
              </w:num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proofErr w:type="gramStart"/>
            <w:r w:rsidRPr="00A712F9">
              <w:rPr>
                <w:rFonts w:eastAsia="Times New Roman"/>
                <w:sz w:val="20"/>
                <w:szCs w:val="20"/>
              </w:rPr>
              <w:t>annual</w:t>
            </w:r>
            <w:proofErr w:type="gramEnd"/>
            <w:r w:rsidRPr="00A712F9">
              <w:rPr>
                <w:rFonts w:eastAsia="Times New Roman"/>
                <w:sz w:val="20"/>
                <w:szCs w:val="20"/>
              </w:rPr>
              <w:t xml:space="preserve"> financial statements as per point 1.3 below</w:t>
            </w:r>
            <w:r w:rsidRPr="00A712F9">
              <w:rPr>
                <w:rFonts w:eastAsia="Times New Roman"/>
                <w:i/>
                <w:iCs/>
                <w:sz w:val="20"/>
                <w:szCs w:val="20"/>
              </w:rPr>
              <w:t>.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Company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mission statement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Service commitment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to customers and measurements used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Organization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structure</w:t>
            </w:r>
          </w:p>
          <w:p w:rsidR="005C4311" w:rsidRPr="00A46682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Geographical 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presence</w:t>
            </w:r>
          </w:p>
          <w:p w:rsidR="00A46682" w:rsidRPr="0007065F" w:rsidRDefault="00A46682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E</w:t>
            </w:r>
            <w:r w:rsidRPr="0007065F">
              <w:rPr>
                <w:rFonts w:eastAsia="Times New Roman"/>
                <w:sz w:val="20"/>
                <w:szCs w:val="20"/>
                <w:lang w:val="en-GB"/>
              </w:rPr>
              <w:t>xperience (include description of the part of your Organization devoted to providing the services being considered)</w:t>
            </w:r>
          </w:p>
          <w:p w:rsidR="005C4311" w:rsidRPr="00A712F9" w:rsidRDefault="005C4311" w:rsidP="00A46682">
            <w:pPr>
              <w:spacing w:before="60" w:after="60"/>
              <w:ind w:left="720"/>
              <w:jc w:val="both"/>
              <w:rPr>
                <w:rFonts w:eastAsia="Times New Roman"/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</w:tr>
      <w:tr w:rsidR="005C4311" w:rsidRPr="00A712F9" w:rsidTr="00A712F9">
        <w:trPr>
          <w:trHeight w:val="1360"/>
        </w:trPr>
        <w:tc>
          <w:tcPr>
            <w:tcW w:w="9360" w:type="dxa"/>
            <w:shd w:val="clear" w:color="auto" w:fill="auto"/>
          </w:tcPr>
          <w:p w:rsidR="005C4311" w:rsidRPr="00A712F9" w:rsidRDefault="005C4311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Staffing information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Number and Geographical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distribution of staff</w:t>
            </w:r>
          </w:p>
          <w:p w:rsidR="005C4311" w:rsidRPr="00A712F9" w:rsidRDefault="005C4311" w:rsidP="00A46682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</w:rPr>
              <w:t>Staff turnover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rate for the past three years </w:t>
            </w:r>
          </w:p>
        </w:tc>
      </w:tr>
      <w:tr w:rsidR="000017EB" w:rsidRPr="00A712F9" w:rsidTr="00A712F9">
        <w:tc>
          <w:tcPr>
            <w:tcW w:w="9360" w:type="dxa"/>
            <w:shd w:val="clear" w:color="auto" w:fill="auto"/>
          </w:tcPr>
          <w:p w:rsidR="005C4311" w:rsidRPr="00A712F9" w:rsidRDefault="005C4311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Financial Information</w:t>
            </w:r>
          </w:p>
          <w:p w:rsidR="000017EB" w:rsidRPr="00A712F9" w:rsidRDefault="005C4311" w:rsidP="00D73DB5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Please provided </w:t>
            </w:r>
            <w:r w:rsidR="000017EB" w:rsidRPr="00A712F9">
              <w:rPr>
                <w:rFonts w:eastAsia="Times New Roman"/>
                <w:b/>
                <w:bCs/>
                <w:sz w:val="20"/>
                <w:szCs w:val="20"/>
                <w:u w:val="single"/>
                <w:lang w:val="en-GB"/>
              </w:rPr>
              <w:t>Audited</w:t>
            </w:r>
            <w:r w:rsidR="000017EB"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 financial statements</w:t>
            </w:r>
            <w:r w:rsidR="000017EB"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 a</w:t>
            </w:r>
            <w:r w:rsidR="00275B8C"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nd reports for the past </w:t>
            </w:r>
            <w:r w:rsidR="00D73DB5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three </w:t>
            </w:r>
            <w:r w:rsidR="00275B8C"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>(</w:t>
            </w:r>
            <w:r w:rsidR="00AB563A">
              <w:rPr>
                <w:rFonts w:eastAsia="Times New Roman"/>
                <w:bCs/>
                <w:sz w:val="20"/>
                <w:szCs w:val="20"/>
                <w:lang w:val="en-GB"/>
              </w:rPr>
              <w:t>3</w:t>
            </w:r>
            <w:r w:rsidR="000017EB"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>) years</w:t>
            </w:r>
          </w:p>
          <w:p w:rsidR="00944CA0" w:rsidRPr="00A712F9" w:rsidRDefault="00944CA0" w:rsidP="00A46682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bCs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>Please fill</w:t>
            </w:r>
            <w:r w:rsidR="0007065F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 </w:t>
            </w:r>
            <w:r w:rsidR="00AB563A">
              <w:rPr>
                <w:rFonts w:eastAsia="Times New Roman"/>
                <w:bCs/>
                <w:sz w:val="20"/>
                <w:szCs w:val="20"/>
                <w:lang w:val="en-GB"/>
              </w:rPr>
              <w:t>in the e</w:t>
            </w:r>
            <w:r w:rsidR="0007065F">
              <w:rPr>
                <w:rFonts w:eastAsia="Times New Roman"/>
                <w:bCs/>
                <w:sz w:val="20"/>
                <w:szCs w:val="20"/>
                <w:lang w:val="en-GB"/>
              </w:rPr>
              <w:t>xcel</w:t>
            </w:r>
            <w:r w:rsidRPr="00A712F9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 table </w:t>
            </w:r>
            <w:r w:rsidR="00AB563A">
              <w:rPr>
                <w:rFonts w:eastAsia="Times New Roman"/>
                <w:bCs/>
                <w:sz w:val="20"/>
                <w:szCs w:val="20"/>
                <w:lang w:val="en-GB"/>
              </w:rPr>
              <w:t xml:space="preserve">titled </w:t>
            </w:r>
            <w:r w:rsidR="00A46682" w:rsidRPr="00A46682">
              <w:rPr>
                <w:rFonts w:eastAsia="Times New Roman"/>
                <w:bCs/>
                <w:sz w:val="20"/>
                <w:szCs w:val="20"/>
                <w:lang w:val="en-GB"/>
              </w:rPr>
              <w:t>Annex 3 - Financial Information</w:t>
            </w:r>
          </w:p>
          <w:p w:rsidR="00944CA0" w:rsidRPr="00A712F9" w:rsidRDefault="00944CA0" w:rsidP="00A712F9">
            <w:p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</w:p>
        </w:tc>
      </w:tr>
      <w:tr w:rsidR="005C4311" w:rsidRPr="00A712F9" w:rsidTr="00A712F9">
        <w:trPr>
          <w:trHeight w:val="1950"/>
        </w:trPr>
        <w:tc>
          <w:tcPr>
            <w:tcW w:w="9360" w:type="dxa"/>
            <w:shd w:val="clear" w:color="auto" w:fill="auto"/>
          </w:tcPr>
          <w:p w:rsidR="005C4311" w:rsidRPr="00A712F9" w:rsidRDefault="005C4311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Legal information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History of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Bankruptcy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Pending major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lawsuits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and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litigations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in excess of USD 100,000 at risk (indicate particularly those by licensees or patent infringement)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Pending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Criminal/Civil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lawsuits; 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past due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 tax or social security contributions</w:t>
            </w:r>
          </w:p>
        </w:tc>
      </w:tr>
      <w:tr w:rsidR="005C4311" w:rsidRPr="00A712F9" w:rsidTr="00A712F9">
        <w:trPr>
          <w:trHeight w:val="1300"/>
        </w:trPr>
        <w:tc>
          <w:tcPr>
            <w:tcW w:w="9360" w:type="dxa"/>
            <w:shd w:val="clear" w:color="auto" w:fill="auto"/>
          </w:tcPr>
          <w:p w:rsidR="005C4311" w:rsidRPr="00A712F9" w:rsidRDefault="005C4311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lastRenderedPageBreak/>
              <w:t>Contractual relationships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Contracts in regard to other programmes / projects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(with other UN agencies, procurement agents)</w:t>
            </w:r>
          </w:p>
          <w:p w:rsidR="005C4311" w:rsidRPr="00A712F9" w:rsidRDefault="005C4311" w:rsidP="00A712F9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Contractual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certification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programs and certification status</w:t>
            </w:r>
          </w:p>
        </w:tc>
      </w:tr>
      <w:tr w:rsidR="000017EB" w:rsidRPr="00A712F9" w:rsidTr="00A712F9">
        <w:tc>
          <w:tcPr>
            <w:tcW w:w="9360" w:type="dxa"/>
            <w:shd w:val="clear" w:color="auto" w:fill="auto"/>
          </w:tcPr>
          <w:p w:rsidR="00BC2B54" w:rsidRPr="00A712F9" w:rsidRDefault="00BC2B54" w:rsidP="00A712F9">
            <w:pPr>
              <w:numPr>
                <w:ilvl w:val="1"/>
                <w:numId w:val="3"/>
              </w:numPr>
              <w:spacing w:before="60" w:after="60"/>
              <w:ind w:left="720" w:hanging="720"/>
              <w:jc w:val="both"/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</w:pPr>
            <w:r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Sub-contractor and suppliers</w:t>
            </w:r>
            <w:r w:rsidR="00D40025" w:rsidRPr="00A712F9">
              <w:rPr>
                <w:rFonts w:eastAsia="Times New Roman"/>
                <w:b/>
                <w:bCs/>
                <w:color w:val="17365D"/>
                <w:sz w:val="22"/>
                <w:szCs w:val="22"/>
                <w:lang w:val="en-GB"/>
              </w:rPr>
              <w:t>/manufacturers</w:t>
            </w:r>
          </w:p>
          <w:p w:rsidR="000017EB" w:rsidRDefault="000017EB" w:rsidP="00361DB6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Proposed 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>sub-contractor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 arrangements including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 company information (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as above</w:t>
            </w:r>
            <w:r w:rsidRPr="00A712F9">
              <w:rPr>
                <w:rFonts w:eastAsia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for each sub-contractor)</w:t>
            </w:r>
            <w:r w:rsidR="00BC2B54" w:rsidRPr="00A712F9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</w:p>
          <w:p w:rsidR="00AB563A" w:rsidRPr="00A712F9" w:rsidRDefault="004C68A1" w:rsidP="004C68A1">
            <w:pPr>
              <w:spacing w:before="60" w:after="60"/>
              <w:ind w:left="72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For companies not based in India, a</w:t>
            </w:r>
            <w:r w:rsidR="00AB563A">
              <w:rPr>
                <w:rFonts w:eastAsia="Times New Roman"/>
                <w:sz w:val="20"/>
                <w:szCs w:val="20"/>
                <w:lang w:val="en-GB"/>
              </w:rPr>
              <w:t xml:space="preserve"> specific sub-contractor arrangement, for purchasing and distribution of supplies in India, is required.</w:t>
            </w:r>
          </w:p>
          <w:p w:rsidR="00BC2B54" w:rsidRPr="00A46682" w:rsidRDefault="00BC2B54" w:rsidP="00A46682">
            <w:pPr>
              <w:numPr>
                <w:ilvl w:val="2"/>
                <w:numId w:val="3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 xml:space="preserve">List of </w:t>
            </w:r>
            <w:r w:rsidR="00D52CAB" w:rsidRPr="00A712F9">
              <w:rPr>
                <w:rFonts w:eastAsia="Times New Roman"/>
                <w:sz w:val="20"/>
                <w:szCs w:val="20"/>
                <w:lang w:val="en-GB"/>
              </w:rPr>
              <w:t>establish</w:t>
            </w:r>
            <w:r w:rsidR="00AB563A">
              <w:rPr>
                <w:rFonts w:eastAsia="Times New Roman"/>
                <w:sz w:val="20"/>
                <w:szCs w:val="20"/>
                <w:lang w:val="en-GB"/>
              </w:rPr>
              <w:t>ed</w:t>
            </w:r>
            <w:r w:rsidR="00D40025" w:rsidRPr="00A712F9">
              <w:rPr>
                <w:rFonts w:eastAsia="Times New Roman"/>
                <w:sz w:val="20"/>
                <w:szCs w:val="20"/>
                <w:lang w:val="en-GB"/>
              </w:rPr>
              <w:t xml:space="preserve"> suppliers / </w:t>
            </w:r>
            <w:r w:rsidR="00D73DB5" w:rsidRPr="00A712F9">
              <w:rPr>
                <w:rFonts w:eastAsia="Times New Roman"/>
                <w:sz w:val="20"/>
                <w:szCs w:val="20"/>
                <w:lang w:val="en-GB"/>
              </w:rPr>
              <w:t>manufactur</w:t>
            </w:r>
            <w:r w:rsidR="00D73DB5">
              <w:rPr>
                <w:rFonts w:eastAsia="Times New Roman"/>
                <w:sz w:val="20"/>
                <w:szCs w:val="20"/>
                <w:lang w:val="en-GB"/>
              </w:rPr>
              <w:t>e</w:t>
            </w:r>
            <w:r w:rsidR="00D73DB5" w:rsidRPr="00A712F9">
              <w:rPr>
                <w:rFonts w:eastAsia="Times New Roman"/>
                <w:sz w:val="20"/>
                <w:szCs w:val="20"/>
                <w:lang w:val="en-GB"/>
              </w:rPr>
              <w:t>rs</w:t>
            </w:r>
            <w:r w:rsidR="00D40025" w:rsidRPr="00A712F9">
              <w:rPr>
                <w:rFonts w:eastAsia="Times New Roman"/>
                <w:sz w:val="20"/>
                <w:szCs w:val="20"/>
                <w:lang w:val="en-GB"/>
              </w:rPr>
              <w:t xml:space="preserve"> of  l</w:t>
            </w:r>
            <w:r w:rsidRPr="00A712F9">
              <w:rPr>
                <w:rFonts w:eastAsia="Times New Roman"/>
                <w:sz w:val="20"/>
                <w:szCs w:val="20"/>
                <w:lang w:val="en-GB"/>
              </w:rPr>
              <w:t>aboratory products</w:t>
            </w:r>
          </w:p>
        </w:tc>
      </w:tr>
      <w:tr w:rsidR="000017EB" w:rsidRPr="00A712F9" w:rsidTr="00A712F9">
        <w:tc>
          <w:tcPr>
            <w:tcW w:w="9360" w:type="dxa"/>
            <w:shd w:val="clear" w:color="auto" w:fill="auto"/>
          </w:tcPr>
          <w:p w:rsidR="00A04C81" w:rsidRPr="00A712F9" w:rsidRDefault="00AB563A" w:rsidP="00361DB6">
            <w:pPr>
              <w:numPr>
                <w:ilvl w:val="0"/>
                <w:numId w:val="3"/>
              </w:numPr>
              <w:tabs>
                <w:tab w:val="clear" w:pos="432"/>
                <w:tab w:val="left" w:pos="720"/>
              </w:tabs>
              <w:spacing w:before="60" w:after="60"/>
              <w:ind w:left="720" w:hanging="720"/>
              <w:jc w:val="both"/>
              <w:rPr>
                <w:rFonts w:eastAsia="Times New Roman"/>
                <w:b/>
                <w:sz w:val="20"/>
                <w:szCs w:val="20"/>
                <w:lang w:val="en-GB"/>
              </w:rPr>
            </w:pPr>
            <w:r>
              <w:rPr>
                <w:rFonts w:eastAsia="Times New Roman"/>
                <w:b/>
                <w:color w:val="17365D"/>
                <w:sz w:val="22"/>
                <w:szCs w:val="22"/>
                <w:u w:val="single"/>
                <w:lang w:val="en-GB"/>
              </w:rPr>
              <w:t>Relevant e</w:t>
            </w:r>
            <w:r w:rsidR="000017EB" w:rsidRPr="00A712F9">
              <w:rPr>
                <w:rFonts w:eastAsia="Times New Roman"/>
                <w:b/>
                <w:color w:val="17365D"/>
                <w:sz w:val="22"/>
                <w:szCs w:val="22"/>
                <w:u w:val="single"/>
                <w:lang w:val="en-GB"/>
              </w:rPr>
              <w:t>xperience and Reference Contact Information</w:t>
            </w:r>
          </w:p>
          <w:p w:rsidR="00361DB6" w:rsidRDefault="00A04C81" w:rsidP="00A46682">
            <w:pPr>
              <w:tabs>
                <w:tab w:val="left" w:pos="720"/>
              </w:tabs>
              <w:spacing w:before="60"/>
              <w:ind w:left="72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  <w:lang w:val="en-GB"/>
              </w:rPr>
              <w:t>E</w:t>
            </w:r>
            <w:r w:rsidR="000017EB" w:rsidRPr="00A712F9">
              <w:rPr>
                <w:rFonts w:eastAsia="Times New Roman"/>
                <w:sz w:val="20"/>
                <w:szCs w:val="20"/>
                <w:lang w:val="en-GB"/>
              </w:rPr>
              <w:t xml:space="preserve">xamples of relevant experience gained that demonstrate the contractor's ability to deliver </w:t>
            </w:r>
            <w:r w:rsidR="00AB563A">
              <w:rPr>
                <w:rFonts w:eastAsia="Times New Roman"/>
                <w:sz w:val="20"/>
                <w:szCs w:val="20"/>
                <w:lang w:val="en-GB"/>
              </w:rPr>
              <w:t>the requested service.</w:t>
            </w:r>
          </w:p>
          <w:p w:rsidR="00A04C81" w:rsidRPr="00A712F9" w:rsidRDefault="00A04C81" w:rsidP="00A46682">
            <w:pPr>
              <w:tabs>
                <w:tab w:val="left" w:pos="720"/>
              </w:tabs>
              <w:spacing w:after="60"/>
              <w:ind w:left="720"/>
              <w:jc w:val="both"/>
              <w:rPr>
                <w:rFonts w:eastAsia="Times New Roman"/>
                <w:b/>
                <w:sz w:val="20"/>
                <w:szCs w:val="20"/>
                <w:lang w:val="en-GB"/>
              </w:rPr>
            </w:pPr>
          </w:p>
          <w:p w:rsidR="000017EB" w:rsidRPr="00A712F9" w:rsidRDefault="000017EB" w:rsidP="00A46682">
            <w:pPr>
              <w:spacing w:after="60"/>
              <w:ind w:left="720" w:hanging="720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The provider shall possess the following experience and abilities:</w:t>
            </w:r>
          </w:p>
          <w:p w:rsidR="00A04C81" w:rsidRPr="00A712F9" w:rsidRDefault="000017EB" w:rsidP="00A712F9">
            <w:pPr>
              <w:numPr>
                <w:ilvl w:val="0"/>
                <w:numId w:val="17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At least 3 years of experience in purchasing and delivering laboratory </w:t>
            </w:r>
            <w:r w:rsidR="00A04C81" w:rsidRPr="00A712F9">
              <w:rPr>
                <w:rFonts w:eastAsia="Times New Roman"/>
                <w:sz w:val="20"/>
                <w:szCs w:val="20"/>
              </w:rPr>
              <w:t>products</w:t>
            </w:r>
            <w:r w:rsidR="00CE59C0" w:rsidRPr="00A712F9">
              <w:rPr>
                <w:rFonts w:eastAsia="Times New Roman"/>
                <w:sz w:val="20"/>
                <w:szCs w:val="20"/>
              </w:rPr>
              <w:t>.</w:t>
            </w:r>
            <w:r w:rsidR="00A04C81" w:rsidRPr="00A712F9">
              <w:rPr>
                <w:rFonts w:eastAsia="Times New Roman"/>
                <w:sz w:val="20"/>
                <w:szCs w:val="20"/>
              </w:rPr>
              <w:br/>
            </w:r>
            <w:r w:rsidRPr="00A712F9">
              <w:rPr>
                <w:rFonts w:eastAsia="Times New Roman"/>
                <w:sz w:val="20"/>
                <w:szCs w:val="20"/>
              </w:rPr>
              <w:t>Please provide a comprehensive list of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spacing w:before="60"/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 C</w:t>
            </w:r>
            <w:r w:rsidR="000017EB" w:rsidRPr="00A712F9">
              <w:rPr>
                <w:rFonts w:eastAsia="Times New Roman"/>
                <w:sz w:val="20"/>
                <w:szCs w:val="20"/>
              </w:rPr>
              <w:t>lients/countries</w:t>
            </w:r>
            <w:r w:rsidR="00CE59C0" w:rsidRPr="00A712F9">
              <w:rPr>
                <w:rFonts w:eastAsia="Times New Roman"/>
                <w:sz w:val="20"/>
                <w:szCs w:val="20"/>
              </w:rPr>
              <w:t xml:space="preserve"> supplied to </w:t>
            </w:r>
            <w:r w:rsidR="00CE59C0" w:rsidRPr="00A712F9">
              <w:rPr>
                <w:rFonts w:eastAsia="Times New Roman"/>
                <w:sz w:val="20"/>
                <w:szCs w:val="20"/>
                <w:u w:val="single"/>
              </w:rPr>
              <w:t>at least in the past 3 years</w:t>
            </w:r>
            <w:r w:rsidR="000017EB" w:rsidRPr="00A712F9">
              <w:rPr>
                <w:rFonts w:eastAsia="Times New Roman"/>
                <w:sz w:val="20"/>
                <w:szCs w:val="20"/>
              </w:rPr>
              <w:t xml:space="preserve">, </w:t>
            </w:r>
          </w:p>
          <w:p w:rsidR="000017EB" w:rsidRPr="00A712F9" w:rsidRDefault="00A04C81" w:rsidP="00A46682">
            <w:pPr>
              <w:numPr>
                <w:ilvl w:val="1"/>
                <w:numId w:val="17"/>
              </w:numPr>
              <w:spacing w:after="60"/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T</w:t>
            </w:r>
            <w:r w:rsidR="000017EB" w:rsidRPr="00A712F9">
              <w:rPr>
                <w:rFonts w:eastAsia="Times New Roman"/>
                <w:sz w:val="20"/>
                <w:szCs w:val="20"/>
              </w:rPr>
              <w:t xml:space="preserve">ypes of laboratory </w:t>
            </w:r>
            <w:r w:rsidR="00AB563A">
              <w:rPr>
                <w:rFonts w:eastAsia="Times New Roman"/>
                <w:sz w:val="20"/>
                <w:szCs w:val="20"/>
              </w:rPr>
              <w:t>items</w:t>
            </w:r>
            <w:r w:rsidR="00AB563A" w:rsidRPr="00A712F9">
              <w:rPr>
                <w:rFonts w:eastAsia="Times New Roman"/>
                <w:sz w:val="20"/>
                <w:szCs w:val="20"/>
              </w:rPr>
              <w:t xml:space="preserve"> </w:t>
            </w:r>
            <w:r w:rsidR="00CE59C0" w:rsidRPr="00A712F9">
              <w:rPr>
                <w:rFonts w:eastAsia="Times New Roman"/>
                <w:sz w:val="20"/>
                <w:szCs w:val="20"/>
              </w:rPr>
              <w:t>provided</w:t>
            </w:r>
            <w:r w:rsidR="000017EB" w:rsidRPr="00A712F9">
              <w:rPr>
                <w:rFonts w:eastAsia="Times New Roman"/>
                <w:sz w:val="20"/>
                <w:szCs w:val="20"/>
              </w:rPr>
              <w:t xml:space="preserve"> including value per type of </w:t>
            </w:r>
            <w:r w:rsidR="00AB563A">
              <w:rPr>
                <w:rFonts w:eastAsia="Times New Roman"/>
                <w:sz w:val="20"/>
                <w:szCs w:val="20"/>
              </w:rPr>
              <w:t>item</w:t>
            </w:r>
            <w:r w:rsidR="00CE59C0" w:rsidRPr="00A712F9">
              <w:rPr>
                <w:rFonts w:eastAsia="Times New Roman"/>
                <w:sz w:val="20"/>
                <w:szCs w:val="20"/>
              </w:rPr>
              <w:t>.</w:t>
            </w:r>
          </w:p>
          <w:p w:rsidR="000017EB" w:rsidRPr="00A712F9" w:rsidRDefault="000017EB" w:rsidP="00A712F9">
            <w:pPr>
              <w:numPr>
                <w:ilvl w:val="0"/>
                <w:numId w:val="17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Experience working with International Organizations and Low-income/Lower-middle income countries. </w:t>
            </w:r>
            <w:r w:rsidRPr="00A712F9">
              <w:rPr>
                <w:rStyle w:val="FootnoteReference"/>
                <w:rFonts w:eastAsia="Times New Roman"/>
                <w:sz w:val="20"/>
                <w:szCs w:val="20"/>
              </w:rPr>
              <w:footnoteReference w:id="1"/>
            </w:r>
          </w:p>
          <w:p w:rsidR="00944CA0" w:rsidRPr="00A712F9" w:rsidRDefault="00A04C81" w:rsidP="00A712F9">
            <w:pPr>
              <w:numPr>
                <w:ilvl w:val="0"/>
                <w:numId w:val="17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Experience managing Supply chain of laboratory items :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spacing w:before="60"/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Network of suppliers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Warehousing capabilities for normal, cool</w:t>
            </w:r>
            <w:r w:rsidR="00AB563A">
              <w:rPr>
                <w:rFonts w:eastAsia="Times New Roman"/>
                <w:sz w:val="20"/>
                <w:szCs w:val="20"/>
              </w:rPr>
              <w:t>ed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or dangerous goods.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International deliveries</w:t>
            </w:r>
            <w:r w:rsidR="00D40025" w:rsidRPr="00A712F9">
              <w:rPr>
                <w:rFonts w:eastAsia="Times New Roman"/>
                <w:sz w:val="20"/>
                <w:szCs w:val="20"/>
              </w:rPr>
              <w:t xml:space="preserve"> and custom</w:t>
            </w:r>
            <w:r w:rsidR="00AB563A">
              <w:rPr>
                <w:rFonts w:eastAsia="Times New Roman"/>
                <w:sz w:val="20"/>
                <w:szCs w:val="20"/>
              </w:rPr>
              <w:t>s handling</w:t>
            </w:r>
            <w:r w:rsidR="00D40025" w:rsidRPr="00A712F9">
              <w:rPr>
                <w:rFonts w:eastAsia="Times New Roman"/>
                <w:sz w:val="20"/>
                <w:szCs w:val="20"/>
              </w:rPr>
              <w:t xml:space="preserve"> for laboratory products (chemicals, instrument</w:t>
            </w:r>
            <w:r w:rsidR="00AB563A">
              <w:rPr>
                <w:rFonts w:eastAsia="Times New Roman"/>
                <w:sz w:val="20"/>
                <w:szCs w:val="20"/>
              </w:rPr>
              <w:t>s etc.)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After sale</w:t>
            </w:r>
            <w:r w:rsidR="00AB563A">
              <w:rPr>
                <w:rFonts w:eastAsia="Times New Roman"/>
                <w:sz w:val="20"/>
                <w:szCs w:val="20"/>
              </w:rPr>
              <w:t>s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service</w:t>
            </w:r>
            <w:r w:rsidR="00AB563A">
              <w:rPr>
                <w:rFonts w:eastAsia="Times New Roman"/>
                <w:sz w:val="20"/>
                <w:szCs w:val="20"/>
              </w:rPr>
              <w:t>,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worldwide</w:t>
            </w:r>
          </w:p>
          <w:p w:rsidR="00A04C81" w:rsidRPr="00A712F9" w:rsidRDefault="00A04C81" w:rsidP="00A46682">
            <w:pPr>
              <w:numPr>
                <w:ilvl w:val="1"/>
                <w:numId w:val="17"/>
              </w:numPr>
              <w:spacing w:after="60"/>
              <w:ind w:left="1434" w:hanging="357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Information system </w:t>
            </w:r>
            <w:r w:rsidR="00AB563A">
              <w:rPr>
                <w:rFonts w:eastAsia="Times New Roman"/>
                <w:sz w:val="20"/>
                <w:szCs w:val="20"/>
              </w:rPr>
              <w:t xml:space="preserve">such </w:t>
            </w:r>
            <w:r w:rsidRPr="00A712F9">
              <w:rPr>
                <w:rFonts w:eastAsia="Times New Roman"/>
                <w:sz w:val="20"/>
                <w:szCs w:val="20"/>
              </w:rPr>
              <w:t>as ERP, WMS, TMS</w:t>
            </w:r>
            <w:r w:rsidR="00AB563A">
              <w:rPr>
                <w:rFonts w:eastAsia="Times New Roman"/>
                <w:sz w:val="20"/>
                <w:szCs w:val="20"/>
              </w:rPr>
              <w:t xml:space="preserve"> or equivalent.</w:t>
            </w:r>
          </w:p>
          <w:p w:rsidR="00A04C81" w:rsidRPr="00A712F9" w:rsidRDefault="00446C41" w:rsidP="00D73DB5">
            <w:pPr>
              <w:numPr>
                <w:ilvl w:val="0"/>
                <w:numId w:val="17"/>
              </w:numPr>
              <w:spacing w:before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>Local procurement and d</w:t>
            </w:r>
            <w:r w:rsidR="00A04C81" w:rsidRPr="00A712F9">
              <w:rPr>
                <w:rFonts w:eastAsia="Times New Roman"/>
                <w:sz w:val="20"/>
                <w:szCs w:val="20"/>
              </w:rPr>
              <w:t>eliveries from stock located in India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to all </w:t>
            </w:r>
            <w:r w:rsidR="00AB563A">
              <w:rPr>
                <w:rFonts w:eastAsia="Times New Roman"/>
                <w:sz w:val="20"/>
                <w:szCs w:val="20"/>
              </w:rPr>
              <w:t xml:space="preserve">regions in </w:t>
            </w:r>
            <w:r w:rsidRPr="00A712F9">
              <w:rPr>
                <w:rFonts w:eastAsia="Times New Roman"/>
                <w:sz w:val="20"/>
                <w:szCs w:val="20"/>
              </w:rPr>
              <w:t>India (list of laboratories</w:t>
            </w:r>
            <w:r w:rsidR="00A46682">
              <w:rPr>
                <w:rFonts w:eastAsia="Times New Roman"/>
                <w:sz w:val="20"/>
                <w:szCs w:val="20"/>
              </w:rPr>
              <w:t xml:space="preserve"> serviced</w:t>
            </w:r>
            <w:r w:rsidR="00D73DB5">
              <w:rPr>
                <w:rFonts w:eastAsia="Times New Roman"/>
                <w:sz w:val="20"/>
                <w:szCs w:val="20"/>
              </w:rPr>
              <w:t xml:space="preserve"> </w:t>
            </w:r>
            <w:r w:rsidR="00A46682">
              <w:rPr>
                <w:rFonts w:eastAsia="Times New Roman"/>
                <w:sz w:val="20"/>
                <w:szCs w:val="20"/>
              </w:rPr>
              <w:t>by GDF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in India </w:t>
            </w:r>
            <w:r w:rsidR="00D73DB5">
              <w:rPr>
                <w:rFonts w:eastAsia="Times New Roman"/>
                <w:sz w:val="20"/>
                <w:szCs w:val="20"/>
              </w:rPr>
              <w:t>with items required under this EOI</w:t>
            </w:r>
            <w:r w:rsidR="00D73DB5" w:rsidRPr="00A712F9">
              <w:rPr>
                <w:rFonts w:eastAsia="Times New Roman"/>
                <w:sz w:val="20"/>
                <w:szCs w:val="20"/>
              </w:rPr>
              <w:t xml:space="preserve">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is </w:t>
            </w:r>
            <w:r w:rsidR="00AB563A">
              <w:rPr>
                <w:rFonts w:eastAsia="Times New Roman"/>
                <w:sz w:val="20"/>
                <w:szCs w:val="20"/>
              </w:rPr>
              <w:t xml:space="preserve">provided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in </w:t>
            </w:r>
            <w:r w:rsidR="00AB563A" w:rsidRPr="00D73DB5">
              <w:rPr>
                <w:rFonts w:eastAsia="Times New Roman"/>
                <w:sz w:val="20"/>
                <w:szCs w:val="20"/>
              </w:rPr>
              <w:t>A</w:t>
            </w:r>
            <w:r w:rsidRPr="00D73DB5">
              <w:rPr>
                <w:rFonts w:eastAsia="Times New Roman"/>
                <w:sz w:val="20"/>
                <w:szCs w:val="20"/>
              </w:rPr>
              <w:t xml:space="preserve">nnex </w:t>
            </w:r>
            <w:r w:rsidR="00AB563A" w:rsidRPr="00D73DB5">
              <w:rPr>
                <w:rFonts w:eastAsia="Times New Roman"/>
                <w:sz w:val="20"/>
                <w:szCs w:val="20"/>
              </w:rPr>
              <w:t>2</w:t>
            </w:r>
            <w:r w:rsidRPr="00A712F9">
              <w:rPr>
                <w:rFonts w:eastAsia="Times New Roman"/>
                <w:sz w:val="20"/>
                <w:szCs w:val="20"/>
              </w:rPr>
              <w:t>)</w:t>
            </w:r>
          </w:p>
          <w:p w:rsidR="000017EB" w:rsidRPr="00A712F9" w:rsidRDefault="000017EB" w:rsidP="00A712F9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1B0B6E" w:rsidRPr="00A712F9" w:rsidTr="00A712F9">
        <w:tc>
          <w:tcPr>
            <w:tcW w:w="9360" w:type="dxa"/>
            <w:shd w:val="clear" w:color="auto" w:fill="auto"/>
          </w:tcPr>
          <w:p w:rsidR="001B0B6E" w:rsidRPr="00A46682" w:rsidRDefault="001B0B6E" w:rsidP="00A46682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eastAsia="Times New Roman"/>
                <w:b/>
                <w:bCs/>
                <w:color w:val="002060"/>
                <w:sz w:val="22"/>
                <w:szCs w:val="22"/>
                <w:lang w:val="en-GB"/>
              </w:rPr>
            </w:pPr>
            <w:r w:rsidRPr="00A46682">
              <w:rPr>
                <w:rFonts w:eastAsia="Times New Roman"/>
                <w:b/>
                <w:bCs/>
                <w:color w:val="002060"/>
                <w:sz w:val="22"/>
                <w:szCs w:val="22"/>
                <w:lang w:val="en-GB"/>
              </w:rPr>
              <w:t>Product requirements</w:t>
            </w:r>
          </w:p>
          <w:p w:rsidR="001B0B6E" w:rsidRPr="0007065F" w:rsidRDefault="001B0B6E" w:rsidP="00361DB6">
            <w:pPr>
              <w:spacing w:before="60" w:after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The </w:t>
            </w:r>
            <w:r w:rsidR="00AB563A">
              <w:rPr>
                <w:rFonts w:eastAsia="Times New Roman"/>
                <w:sz w:val="20"/>
                <w:szCs w:val="20"/>
              </w:rPr>
              <w:t xml:space="preserve">products offered by the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company </w:t>
            </w:r>
            <w:r w:rsidR="00361DB6">
              <w:rPr>
                <w:rFonts w:eastAsia="Times New Roman"/>
                <w:sz w:val="20"/>
                <w:szCs w:val="20"/>
              </w:rPr>
              <w:t xml:space="preserve">and to be assessed </w:t>
            </w:r>
            <w:r w:rsidRPr="00A712F9">
              <w:rPr>
                <w:rFonts w:eastAsia="Times New Roman"/>
                <w:sz w:val="20"/>
                <w:szCs w:val="20"/>
              </w:rPr>
              <w:t>under the p</w:t>
            </w:r>
            <w:r w:rsidR="00361DB6">
              <w:rPr>
                <w:rFonts w:eastAsia="Times New Roman"/>
                <w:sz w:val="20"/>
                <w:szCs w:val="20"/>
              </w:rPr>
              <w:t xml:space="preserve">resent EOI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need to be registered </w:t>
            </w:r>
            <w:r w:rsidR="004F5846" w:rsidRPr="00A712F9">
              <w:rPr>
                <w:rFonts w:eastAsia="Times New Roman"/>
                <w:sz w:val="20"/>
                <w:szCs w:val="20"/>
              </w:rPr>
              <w:t xml:space="preserve">in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a </w:t>
            </w:r>
            <w:r w:rsidR="004F5846" w:rsidRPr="00A712F9">
              <w:rPr>
                <w:rFonts w:eastAsia="Times New Roman"/>
                <w:sz w:val="20"/>
                <w:szCs w:val="20"/>
              </w:rPr>
              <w:t>highly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regulat</w:t>
            </w:r>
            <w:r w:rsidR="004F5846" w:rsidRPr="00A712F9">
              <w:rPr>
                <w:rFonts w:eastAsia="Times New Roman"/>
                <w:sz w:val="20"/>
                <w:szCs w:val="20"/>
              </w:rPr>
              <w:t>ed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</w:t>
            </w:r>
            <w:r w:rsidR="004F5846" w:rsidRPr="00A712F9">
              <w:rPr>
                <w:rFonts w:eastAsia="Times New Roman"/>
                <w:sz w:val="20"/>
                <w:szCs w:val="20"/>
              </w:rPr>
              <w:t xml:space="preserve">environment, such as in the </w:t>
            </w:r>
            <w:r w:rsidRPr="00A712F9">
              <w:rPr>
                <w:rFonts w:eastAsia="Times New Roman"/>
                <w:sz w:val="20"/>
                <w:szCs w:val="20"/>
              </w:rPr>
              <w:t xml:space="preserve">US </w:t>
            </w:r>
            <w:r w:rsidR="004F5846" w:rsidRPr="00A712F9">
              <w:rPr>
                <w:rFonts w:eastAsia="Times New Roman"/>
                <w:sz w:val="20"/>
                <w:szCs w:val="20"/>
              </w:rPr>
              <w:t xml:space="preserve">(US </w:t>
            </w:r>
            <w:r w:rsidRPr="00A712F9">
              <w:rPr>
                <w:rFonts w:eastAsia="Times New Roman"/>
                <w:sz w:val="20"/>
                <w:szCs w:val="20"/>
              </w:rPr>
              <w:t>FDA</w:t>
            </w:r>
            <w:r w:rsidR="004F5846" w:rsidRPr="00A712F9">
              <w:rPr>
                <w:rFonts w:eastAsia="Times New Roman"/>
                <w:sz w:val="20"/>
                <w:szCs w:val="20"/>
              </w:rPr>
              <w:t>)</w:t>
            </w:r>
            <w:r w:rsidRPr="00A712F9">
              <w:rPr>
                <w:rFonts w:eastAsia="Times New Roman"/>
                <w:sz w:val="20"/>
                <w:szCs w:val="20"/>
              </w:rPr>
              <w:t xml:space="preserve">, </w:t>
            </w:r>
            <w:r w:rsidR="004F5846" w:rsidRPr="00A712F9">
              <w:rPr>
                <w:rFonts w:eastAsia="Times New Roman"/>
                <w:sz w:val="20"/>
                <w:szCs w:val="20"/>
              </w:rPr>
              <w:t>a</w:t>
            </w:r>
            <w:r w:rsidRPr="00A712F9">
              <w:rPr>
                <w:rFonts w:eastAsia="Times New Roman"/>
                <w:sz w:val="20"/>
                <w:szCs w:val="20"/>
              </w:rPr>
              <w:t>n EU Member State, Japan or bear the CE marking or equivalent.</w:t>
            </w:r>
          </w:p>
        </w:tc>
      </w:tr>
      <w:tr w:rsidR="000017EB" w:rsidRPr="00A712F9" w:rsidTr="00A712F9">
        <w:tc>
          <w:tcPr>
            <w:tcW w:w="9360" w:type="dxa"/>
            <w:shd w:val="clear" w:color="auto" w:fill="auto"/>
          </w:tcPr>
          <w:p w:rsidR="000017EB" w:rsidRPr="00A46682" w:rsidRDefault="000017EB" w:rsidP="00A46682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eastAsia="Times New Roman"/>
                <w:color w:val="002060"/>
                <w:sz w:val="22"/>
                <w:szCs w:val="22"/>
                <w:lang w:val="en-GB"/>
              </w:rPr>
            </w:pPr>
            <w:r w:rsidRPr="00A46682">
              <w:rPr>
                <w:rFonts w:eastAsia="Times New Roman"/>
                <w:b/>
                <w:bCs/>
                <w:color w:val="002060"/>
                <w:sz w:val="22"/>
                <w:szCs w:val="22"/>
                <w:lang w:val="en-GB"/>
              </w:rPr>
              <w:t xml:space="preserve">Additional </w:t>
            </w:r>
            <w:r w:rsidR="00361DB6">
              <w:rPr>
                <w:rFonts w:eastAsia="Times New Roman"/>
                <w:b/>
                <w:bCs/>
                <w:color w:val="002060"/>
                <w:sz w:val="22"/>
                <w:szCs w:val="22"/>
                <w:lang w:val="en-GB"/>
              </w:rPr>
              <w:t>a</w:t>
            </w:r>
            <w:r w:rsidRPr="00A46682">
              <w:rPr>
                <w:rFonts w:eastAsia="Times New Roman"/>
                <w:b/>
                <w:bCs/>
                <w:color w:val="002060"/>
                <w:sz w:val="22"/>
                <w:szCs w:val="22"/>
                <w:lang w:val="en-GB"/>
              </w:rPr>
              <w:t>ctivities:</w:t>
            </w:r>
          </w:p>
          <w:p w:rsidR="000017EB" w:rsidRPr="00A712F9" w:rsidRDefault="00CE59C0" w:rsidP="00A712F9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Willingness to enter delivery data in </w:t>
            </w:r>
            <w:r w:rsidR="000017EB" w:rsidRPr="00A712F9">
              <w:rPr>
                <w:rFonts w:eastAsia="Times New Roman"/>
                <w:sz w:val="20"/>
                <w:szCs w:val="20"/>
              </w:rPr>
              <w:t>GDF's electronic Order Management System (OMS)</w:t>
            </w:r>
            <w:r w:rsidRPr="00A712F9">
              <w:rPr>
                <w:rFonts w:eastAsia="Times New Roman"/>
                <w:sz w:val="20"/>
                <w:szCs w:val="20"/>
              </w:rPr>
              <w:t xml:space="preserve">. </w:t>
            </w:r>
            <w:r w:rsidR="000017EB" w:rsidRPr="00A712F9">
              <w:rPr>
                <w:rFonts w:eastAsia="Times New Roman"/>
                <w:sz w:val="20"/>
                <w:szCs w:val="20"/>
              </w:rPr>
              <w:t>The OMS is a real-time order/quotation request and tracking tool, with document management functionality</w:t>
            </w:r>
            <w:r w:rsidRPr="00A712F9">
              <w:rPr>
                <w:rFonts w:eastAsia="Times New Roman"/>
                <w:sz w:val="20"/>
                <w:szCs w:val="20"/>
              </w:rPr>
              <w:t>.</w:t>
            </w:r>
          </w:p>
          <w:p w:rsidR="000017EB" w:rsidRPr="00A712F9" w:rsidRDefault="000017EB" w:rsidP="0007065F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eastAsia="Times New Roman"/>
                <w:sz w:val="20"/>
                <w:szCs w:val="20"/>
                <w:lang w:val="en-GB"/>
              </w:rPr>
            </w:pPr>
            <w:r w:rsidRPr="00A712F9">
              <w:rPr>
                <w:rFonts w:eastAsia="Times New Roman"/>
                <w:sz w:val="20"/>
                <w:szCs w:val="20"/>
              </w:rPr>
              <w:t xml:space="preserve">The </w:t>
            </w:r>
            <w:r w:rsidR="00CE59C0" w:rsidRPr="00A712F9">
              <w:rPr>
                <w:rFonts w:eastAsia="Times New Roman"/>
                <w:sz w:val="20"/>
                <w:szCs w:val="20"/>
              </w:rPr>
              <w:t>Provider</w:t>
            </w:r>
            <w:r w:rsidRPr="00A712F9">
              <w:rPr>
                <w:rFonts w:eastAsia="Times New Roman"/>
                <w:sz w:val="20"/>
                <w:szCs w:val="20"/>
              </w:rPr>
              <w:t xml:space="preserve"> should have an operational Quality Management System</w:t>
            </w:r>
            <w:r w:rsidRPr="00A712F9">
              <w:rPr>
                <w:rStyle w:val="FootnoteReference"/>
                <w:rFonts w:eastAsia="Times New Roman"/>
                <w:sz w:val="20"/>
                <w:szCs w:val="20"/>
              </w:rPr>
              <w:footnoteReference w:id="2"/>
            </w:r>
            <w:r w:rsidRPr="00A712F9">
              <w:rPr>
                <w:rFonts w:eastAsia="Times New Roman"/>
                <w:sz w:val="20"/>
                <w:szCs w:val="20"/>
              </w:rPr>
              <w:t xml:space="preserve"> in place.</w:t>
            </w:r>
            <w:r w:rsidR="0007065F">
              <w:rPr>
                <w:rFonts w:eastAsia="Times New Roman"/>
                <w:sz w:val="20"/>
                <w:szCs w:val="20"/>
              </w:rPr>
              <w:t xml:space="preserve"> Please describe in one or two pages.</w:t>
            </w:r>
          </w:p>
        </w:tc>
      </w:tr>
    </w:tbl>
    <w:p w:rsidR="000017EB" w:rsidRPr="00D83CD6" w:rsidRDefault="000017EB" w:rsidP="0007065F">
      <w:pPr>
        <w:rPr>
          <w:lang w:val="en-GB"/>
        </w:rPr>
      </w:pPr>
    </w:p>
    <w:sectPr w:rsidR="000017EB" w:rsidRPr="00D83CD6" w:rsidSect="00D40025">
      <w:headerReference w:type="even" r:id="rId10"/>
      <w:headerReference w:type="defaul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AC" w:rsidRDefault="00E96AAC">
      <w:r>
        <w:separator/>
      </w:r>
    </w:p>
  </w:endnote>
  <w:endnote w:type="continuationSeparator" w:id="0">
    <w:p w:rsidR="00E96AAC" w:rsidRDefault="00E9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AC" w:rsidRDefault="00E96AAC">
      <w:r>
        <w:separator/>
      </w:r>
    </w:p>
  </w:footnote>
  <w:footnote w:type="continuationSeparator" w:id="0">
    <w:p w:rsidR="00E96AAC" w:rsidRDefault="00E96AAC">
      <w:r>
        <w:continuationSeparator/>
      </w:r>
    </w:p>
  </w:footnote>
  <w:footnote w:id="1">
    <w:p w:rsidR="008D071A" w:rsidRDefault="008D071A" w:rsidP="000017E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6"/>
        </w:rPr>
        <w:t xml:space="preserve"> </w:t>
      </w:r>
      <w:r w:rsidRPr="005E1DAD">
        <w:t>As defined by the World Bank</w:t>
      </w:r>
      <w:r>
        <w:t>.</w:t>
      </w:r>
    </w:p>
  </w:footnote>
  <w:footnote w:id="2">
    <w:p w:rsidR="008D071A" w:rsidRDefault="008D071A" w:rsidP="000017EB">
      <w:pPr>
        <w:pStyle w:val="FootnoteText"/>
      </w:pPr>
      <w:r>
        <w:rPr>
          <w:rStyle w:val="FootnoteReference"/>
        </w:rPr>
        <w:footnoteRef/>
      </w:r>
      <w:r>
        <w:rPr>
          <w:szCs w:val="16"/>
        </w:rPr>
        <w:t xml:space="preserve"> D</w:t>
      </w:r>
      <w:r w:rsidRPr="00CF69B9">
        <w:rPr>
          <w:rFonts w:ascii="Arial" w:hAnsi="Arial" w:cs="Arial"/>
          <w:color w:val="000000"/>
          <w:szCs w:val="16"/>
        </w:rPr>
        <w:t xml:space="preserve">efined here as a set of management processes and tools designed to optimize efficiency and promote continual improvement pursuant to core objectives e.g. as under ISO 9001:2000: </w:t>
      </w:r>
      <w:proofErr w:type="spellStart"/>
      <w:r w:rsidRPr="00CF69B9">
        <w:rPr>
          <w:rFonts w:ascii="Arial" w:hAnsi="Arial" w:cs="Arial"/>
          <w:color w:val="000000"/>
          <w:szCs w:val="16"/>
        </w:rPr>
        <w:t>i.a</w:t>
      </w:r>
      <w:proofErr w:type="spellEnd"/>
      <w:r w:rsidRPr="00CF69B9">
        <w:rPr>
          <w:rFonts w:ascii="Arial" w:hAnsi="Arial" w:cs="Arial"/>
          <w:color w:val="000000"/>
          <w:szCs w:val="16"/>
        </w:rPr>
        <w:t>. systematic corrective action/preventive action, systematic customer feedback, systematic quarterly reporting on key performance indicators, real time order lead time monitoring.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1A" w:rsidRDefault="008D071A" w:rsidP="005F3A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071A" w:rsidRDefault="008D07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71A" w:rsidRPr="008D071A" w:rsidRDefault="008D071A" w:rsidP="005F3AF7">
    <w:pPr>
      <w:pStyle w:val="Header"/>
      <w:framePr w:wrap="around" w:vAnchor="text" w:hAnchor="margin" w:xAlign="center" w:y="1"/>
      <w:rPr>
        <w:rStyle w:val="PageNumber"/>
        <w:sz w:val="20"/>
        <w:szCs w:val="20"/>
      </w:rPr>
    </w:pPr>
    <w:r w:rsidRPr="008D071A">
      <w:rPr>
        <w:rStyle w:val="PageNumber"/>
        <w:sz w:val="20"/>
        <w:szCs w:val="20"/>
      </w:rPr>
      <w:fldChar w:fldCharType="begin"/>
    </w:r>
    <w:r w:rsidRPr="008D071A">
      <w:rPr>
        <w:rStyle w:val="PageNumber"/>
        <w:sz w:val="20"/>
        <w:szCs w:val="20"/>
      </w:rPr>
      <w:instrText xml:space="preserve">PAGE  </w:instrText>
    </w:r>
    <w:r w:rsidRPr="008D071A">
      <w:rPr>
        <w:rStyle w:val="PageNumber"/>
        <w:sz w:val="20"/>
        <w:szCs w:val="20"/>
      </w:rPr>
      <w:fldChar w:fldCharType="separate"/>
    </w:r>
    <w:r w:rsidR="00176398">
      <w:rPr>
        <w:rStyle w:val="PageNumber"/>
        <w:noProof/>
        <w:sz w:val="20"/>
        <w:szCs w:val="20"/>
      </w:rPr>
      <w:t>2</w:t>
    </w:r>
    <w:r w:rsidRPr="008D071A">
      <w:rPr>
        <w:rStyle w:val="PageNumber"/>
        <w:sz w:val="20"/>
        <w:szCs w:val="20"/>
      </w:rPr>
      <w:fldChar w:fldCharType="end"/>
    </w:r>
  </w:p>
  <w:p w:rsidR="008D071A" w:rsidRDefault="008D07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628D"/>
    <w:multiLevelType w:val="multilevel"/>
    <w:tmpl w:val="F7D08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6"/>
      <w:numFmt w:val="decimal"/>
      <w:lvlText w:val="%3%2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07051C4"/>
    <w:multiLevelType w:val="hybridMultilevel"/>
    <w:tmpl w:val="35DEF0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BA5C97"/>
    <w:multiLevelType w:val="multilevel"/>
    <w:tmpl w:val="CE541CD0"/>
    <w:styleLink w:val="11111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49E166B"/>
    <w:multiLevelType w:val="multilevel"/>
    <w:tmpl w:val="B3FEB88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pStyle w:val="StyleHeading2LatinArialComplexAri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Times New Roman" w:hint="default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C57671A"/>
    <w:multiLevelType w:val="hybridMultilevel"/>
    <w:tmpl w:val="A5703E24"/>
    <w:lvl w:ilvl="0" w:tplc="3CEA709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26596"/>
    <w:multiLevelType w:val="multilevel"/>
    <w:tmpl w:val="3C18B66E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94D2F"/>
    <w:multiLevelType w:val="hybridMultilevel"/>
    <w:tmpl w:val="7DCC7B2A"/>
    <w:lvl w:ilvl="0" w:tplc="711A69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B3E"/>
    <w:multiLevelType w:val="multilevel"/>
    <w:tmpl w:val="3C18B66E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134837"/>
    <w:multiLevelType w:val="hybridMultilevel"/>
    <w:tmpl w:val="6B0C2A5C"/>
    <w:lvl w:ilvl="0" w:tplc="249CFD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E4B49"/>
    <w:multiLevelType w:val="hybridMultilevel"/>
    <w:tmpl w:val="3C18B66E"/>
    <w:lvl w:ilvl="0" w:tplc="3EA21666">
      <w:start w:val="3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D666C9"/>
    <w:multiLevelType w:val="multilevel"/>
    <w:tmpl w:val="C826D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6"/>
      <w:numFmt w:val="decimal"/>
      <w:lvlText w:val="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46E470E"/>
    <w:multiLevelType w:val="multilevel"/>
    <w:tmpl w:val="210A0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6"/>
      <w:numFmt w:val="decimal"/>
      <w:lvlText w:val="1.1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549354B5"/>
    <w:multiLevelType w:val="multilevel"/>
    <w:tmpl w:val="D0829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6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6"/>
      <w:numFmt w:val="decimal"/>
      <w:lvlText w:val="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65F06F95"/>
    <w:multiLevelType w:val="hybridMultilevel"/>
    <w:tmpl w:val="2D989E6E"/>
    <w:lvl w:ilvl="0" w:tplc="711A69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DB96ACB4">
      <w:start w:val="8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84BCA1B0">
      <w:start w:val="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8E1421D"/>
    <w:multiLevelType w:val="hybridMultilevel"/>
    <w:tmpl w:val="148C8666"/>
    <w:lvl w:ilvl="0" w:tplc="249CFD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B96ACB4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84BCA1B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C572FC"/>
    <w:multiLevelType w:val="hybridMultilevel"/>
    <w:tmpl w:val="E16ECCE6"/>
    <w:lvl w:ilvl="0" w:tplc="0A0606E8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5A6AB1"/>
    <w:multiLevelType w:val="hybridMultilevel"/>
    <w:tmpl w:val="9ACAC0AE"/>
    <w:lvl w:ilvl="0" w:tplc="711A698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EB83E76"/>
    <w:multiLevelType w:val="multilevel"/>
    <w:tmpl w:val="CE541CD0"/>
    <w:numStyleLink w:val="111111"/>
  </w:abstractNum>
  <w:num w:numId="1">
    <w:abstractNumId w:val="3"/>
  </w:num>
  <w:num w:numId="2">
    <w:abstractNumId w:val="2"/>
  </w:num>
  <w:num w:numId="3">
    <w:abstractNumId w:val="17"/>
  </w:num>
  <w:num w:numId="4">
    <w:abstractNumId w:val="13"/>
  </w:num>
  <w:num w:numId="5">
    <w:abstractNumId w:val="9"/>
  </w:num>
  <w:num w:numId="6">
    <w:abstractNumId w:val="8"/>
  </w:num>
  <w:num w:numId="7">
    <w:abstractNumId w:val="14"/>
  </w:num>
  <w:num w:numId="8">
    <w:abstractNumId w:val="11"/>
  </w:num>
  <w:num w:numId="9">
    <w:abstractNumId w:val="12"/>
  </w:num>
  <w:num w:numId="10">
    <w:abstractNumId w:val="0"/>
  </w:num>
  <w:num w:numId="11">
    <w:abstractNumId w:val="10"/>
  </w:num>
  <w:num w:numId="12">
    <w:abstractNumId w:val="7"/>
  </w:num>
  <w:num w:numId="13">
    <w:abstractNumId w:val="5"/>
  </w:num>
  <w:num w:numId="14">
    <w:abstractNumId w:val="15"/>
  </w:num>
  <w:num w:numId="15">
    <w:abstractNumId w:val="1"/>
  </w:num>
  <w:num w:numId="16">
    <w:abstractNumId w:val="16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EB"/>
    <w:rsid w:val="000017EB"/>
    <w:rsid w:val="000053B8"/>
    <w:rsid w:val="0007065F"/>
    <w:rsid w:val="00176398"/>
    <w:rsid w:val="001B0B6E"/>
    <w:rsid w:val="00275B8C"/>
    <w:rsid w:val="002E0EDB"/>
    <w:rsid w:val="00305D02"/>
    <w:rsid w:val="00361DB6"/>
    <w:rsid w:val="00446C41"/>
    <w:rsid w:val="004C68A1"/>
    <w:rsid w:val="004C6BB7"/>
    <w:rsid w:val="004D2682"/>
    <w:rsid w:val="004D66DA"/>
    <w:rsid w:val="004F5846"/>
    <w:rsid w:val="00574EBD"/>
    <w:rsid w:val="00591242"/>
    <w:rsid w:val="005C4311"/>
    <w:rsid w:val="005F3AF7"/>
    <w:rsid w:val="006D6A98"/>
    <w:rsid w:val="00772A40"/>
    <w:rsid w:val="00790A53"/>
    <w:rsid w:val="008153EC"/>
    <w:rsid w:val="00872956"/>
    <w:rsid w:val="008D071A"/>
    <w:rsid w:val="00944CA0"/>
    <w:rsid w:val="00945867"/>
    <w:rsid w:val="0098622F"/>
    <w:rsid w:val="00A04C81"/>
    <w:rsid w:val="00A41974"/>
    <w:rsid w:val="00A46682"/>
    <w:rsid w:val="00A712F9"/>
    <w:rsid w:val="00AB563A"/>
    <w:rsid w:val="00B63796"/>
    <w:rsid w:val="00BC2B54"/>
    <w:rsid w:val="00CE59C0"/>
    <w:rsid w:val="00D1368C"/>
    <w:rsid w:val="00D40025"/>
    <w:rsid w:val="00D52CAB"/>
    <w:rsid w:val="00D73DB5"/>
    <w:rsid w:val="00E04079"/>
    <w:rsid w:val="00E96AAC"/>
    <w:rsid w:val="00F43E5D"/>
    <w:rsid w:val="00F7117C"/>
    <w:rsid w:val="00F9597D"/>
    <w:rsid w:val="00FA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aliases w:val="Chapter Headline,Attribute Heading 1,h1,Heading Lvl 1,Heading,H1,rp_Heading 1,Bold 18,(Alt+1),min1,L1,Section,(Alt+1)1,(Alt+1)2,(Alt+1)3,(Alt+1)4,(Alt+1)5,(Alt+1)6,(Alt+1)7,(Alt+1)8,(Alt+1)9,(Alt+1)10,(Alt+1)11,(Alt+1)21,(Alt+1)31,(Alt+1)41"/>
    <w:basedOn w:val="Normal"/>
    <w:next w:val="Normal"/>
    <w:qFormat/>
    <w:rsid w:val="000017EB"/>
    <w:pPr>
      <w:pageBreakBefore/>
      <w:numPr>
        <w:numId w:val="1"/>
      </w:numPr>
      <w:tabs>
        <w:tab w:val="left" w:pos="851"/>
      </w:tabs>
      <w:spacing w:before="240" w:after="240"/>
      <w:jc w:val="both"/>
      <w:outlineLvl w:val="0"/>
    </w:pPr>
    <w:rPr>
      <w:rFonts w:ascii="Arial (W1)" w:hAnsi="Arial (W1)" w:cs="Times New (W1)"/>
      <w:b/>
      <w:caps/>
      <w:color w:val="1E7FB8"/>
      <w:sz w:val="26"/>
      <w:szCs w:val="26"/>
      <w:lang w:val="en-GB" w:eastAsia="en-US"/>
    </w:rPr>
  </w:style>
  <w:style w:type="paragraph" w:styleId="Heading2">
    <w:name w:val="heading 2"/>
    <w:basedOn w:val="Normal"/>
    <w:next w:val="Normal"/>
    <w:qFormat/>
    <w:rsid w:val="00001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Indent"/>
    <w:qFormat/>
    <w:rsid w:val="000017EB"/>
    <w:pPr>
      <w:numPr>
        <w:ilvl w:val="2"/>
        <w:numId w:val="1"/>
      </w:numPr>
      <w:tabs>
        <w:tab w:val="left" w:pos="851"/>
      </w:tabs>
      <w:spacing w:after="120"/>
      <w:jc w:val="both"/>
      <w:outlineLvl w:val="2"/>
    </w:pPr>
    <w:rPr>
      <w:rFonts w:ascii="Arial (W1)" w:eastAsia="Times New Roman" w:hAnsi="Arial (W1)" w:cs="Times New (W1)"/>
      <w:b/>
      <w:color w:val="1E7FB8"/>
      <w:sz w:val="22"/>
      <w:szCs w:val="22"/>
      <w:lang w:val="en-GB" w:eastAsia="en-US"/>
    </w:rPr>
  </w:style>
  <w:style w:type="paragraph" w:styleId="Heading4">
    <w:name w:val="heading 4"/>
    <w:basedOn w:val="Normal"/>
    <w:qFormat/>
    <w:rsid w:val="000017EB"/>
    <w:pPr>
      <w:numPr>
        <w:ilvl w:val="3"/>
        <w:numId w:val="1"/>
      </w:numPr>
      <w:tabs>
        <w:tab w:val="left" w:pos="851"/>
      </w:tabs>
      <w:spacing w:after="120"/>
      <w:jc w:val="both"/>
      <w:outlineLvl w:val="3"/>
    </w:pPr>
    <w:rPr>
      <w:rFonts w:ascii="Arial (W1)" w:eastAsia="Times New Roman" w:hAnsi="Arial (W1)" w:cs="Times New (W1)"/>
      <w:b/>
      <w:color w:val="1E7FB8"/>
      <w:sz w:val="20"/>
      <w:szCs w:val="20"/>
      <w:u w:val="single"/>
      <w:lang w:val="en-GB" w:eastAsia="en-US"/>
    </w:rPr>
  </w:style>
  <w:style w:type="paragraph" w:styleId="Heading5">
    <w:name w:val="heading 5"/>
    <w:basedOn w:val="Normal"/>
    <w:next w:val="Normal"/>
    <w:qFormat/>
    <w:rsid w:val="000017EB"/>
    <w:pPr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/>
      <w:sz w:val="22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0017EB"/>
    <w:pPr>
      <w:numPr>
        <w:ilvl w:val="5"/>
        <w:numId w:val="1"/>
      </w:numPr>
      <w:spacing w:before="240" w:after="60"/>
      <w:jc w:val="both"/>
      <w:outlineLvl w:val="5"/>
    </w:pPr>
    <w:rPr>
      <w:rFonts w:ascii="Arial" w:eastAsia="Times New Roman" w:hAnsi="Arial"/>
      <w:i/>
      <w:sz w:val="22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0017EB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Times New Roman" w:hAnsi="Arial"/>
      <w:sz w:val="20"/>
      <w:szCs w:val="20"/>
      <w:lang w:val="en-GB" w:eastAsia="en-US"/>
    </w:rPr>
  </w:style>
  <w:style w:type="paragraph" w:styleId="Heading8">
    <w:name w:val="heading 8"/>
    <w:basedOn w:val="Normal"/>
    <w:next w:val="Normal"/>
    <w:qFormat/>
    <w:rsid w:val="000017E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Heading9">
    <w:name w:val="heading 9"/>
    <w:basedOn w:val="Normal"/>
    <w:next w:val="Normal"/>
    <w:qFormat/>
    <w:rsid w:val="000017E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17E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rsid w:val="000017EB"/>
    <w:pPr>
      <w:ind w:left="720"/>
      <w:jc w:val="both"/>
    </w:pPr>
    <w:rPr>
      <w:rFonts w:ascii="Arial" w:eastAsia="Times New Roman" w:hAnsi="Arial"/>
      <w:sz w:val="20"/>
      <w:lang w:eastAsia="en-US"/>
    </w:rPr>
  </w:style>
  <w:style w:type="paragraph" w:styleId="FootnoteText">
    <w:name w:val="footnote text"/>
    <w:basedOn w:val="Normal"/>
    <w:semiHidden/>
    <w:rsid w:val="000017EB"/>
    <w:pPr>
      <w:jc w:val="both"/>
    </w:pPr>
    <w:rPr>
      <w:rFonts w:ascii="Arial (W1)" w:eastAsia="Times New Roman" w:hAnsi="Arial (W1)" w:cs="Times New (W1)"/>
      <w:sz w:val="16"/>
      <w:szCs w:val="20"/>
      <w:lang w:eastAsia="en-US"/>
    </w:rPr>
  </w:style>
  <w:style w:type="paragraph" w:customStyle="1" w:styleId="StyleHeading2LatinArialComplexArial">
    <w:name w:val="Style Heading 2 + (Latin) Arial (Complex) Arial"/>
    <w:basedOn w:val="Heading2"/>
    <w:rsid w:val="000017EB"/>
    <w:pPr>
      <w:keepNext w:val="0"/>
      <w:numPr>
        <w:ilvl w:val="1"/>
        <w:numId w:val="1"/>
      </w:numPr>
      <w:pBdr>
        <w:top w:val="single" w:sz="4" w:space="1" w:color="447DB5"/>
      </w:pBdr>
      <w:tabs>
        <w:tab w:val="left" w:pos="851"/>
      </w:tabs>
      <w:spacing w:before="120" w:after="0"/>
      <w:jc w:val="both"/>
    </w:pPr>
    <w:rPr>
      <w:rFonts w:eastAsia="Times New Roman"/>
      <w:bCs w:val="0"/>
      <w:i w:val="0"/>
      <w:iCs w:val="0"/>
      <w:color w:val="447DB5"/>
      <w:sz w:val="24"/>
      <w:szCs w:val="24"/>
      <w:lang w:val="en-GB" w:eastAsia="en-US"/>
    </w:rPr>
  </w:style>
  <w:style w:type="character" w:styleId="FootnoteReference">
    <w:name w:val="footnote reference"/>
    <w:semiHidden/>
    <w:rsid w:val="000017EB"/>
    <w:rPr>
      <w:vertAlign w:val="superscript"/>
    </w:rPr>
  </w:style>
  <w:style w:type="numbering" w:styleId="111111">
    <w:name w:val="Outline List 2"/>
    <w:basedOn w:val="NoList"/>
    <w:rsid w:val="000017EB"/>
    <w:pPr>
      <w:numPr>
        <w:numId w:val="2"/>
      </w:numPr>
    </w:pPr>
  </w:style>
  <w:style w:type="paragraph" w:styleId="Header">
    <w:name w:val="header"/>
    <w:basedOn w:val="Normal"/>
    <w:rsid w:val="000017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17EB"/>
  </w:style>
  <w:style w:type="paragraph" w:styleId="Footer">
    <w:name w:val="footer"/>
    <w:basedOn w:val="Normal"/>
    <w:rsid w:val="008D071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D07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61D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61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61DB6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361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61DB6"/>
    <w:rPr>
      <w:b/>
      <w:bCs/>
      <w:lang w:val="en-US"/>
    </w:rPr>
  </w:style>
  <w:style w:type="paragraph" w:styleId="Revision">
    <w:name w:val="Revision"/>
    <w:hidden/>
    <w:uiPriority w:val="99"/>
    <w:semiHidden/>
    <w:rsid w:val="00361DB6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aliases w:val="Chapter Headline,Attribute Heading 1,h1,Heading Lvl 1,Heading,H1,rp_Heading 1,Bold 18,(Alt+1),min1,L1,Section,(Alt+1)1,(Alt+1)2,(Alt+1)3,(Alt+1)4,(Alt+1)5,(Alt+1)6,(Alt+1)7,(Alt+1)8,(Alt+1)9,(Alt+1)10,(Alt+1)11,(Alt+1)21,(Alt+1)31,(Alt+1)41"/>
    <w:basedOn w:val="Normal"/>
    <w:next w:val="Normal"/>
    <w:qFormat/>
    <w:rsid w:val="000017EB"/>
    <w:pPr>
      <w:pageBreakBefore/>
      <w:numPr>
        <w:numId w:val="1"/>
      </w:numPr>
      <w:tabs>
        <w:tab w:val="left" w:pos="851"/>
      </w:tabs>
      <w:spacing w:before="240" w:after="240"/>
      <w:jc w:val="both"/>
      <w:outlineLvl w:val="0"/>
    </w:pPr>
    <w:rPr>
      <w:rFonts w:ascii="Arial (W1)" w:hAnsi="Arial (W1)" w:cs="Times New (W1)"/>
      <w:b/>
      <w:caps/>
      <w:color w:val="1E7FB8"/>
      <w:sz w:val="26"/>
      <w:szCs w:val="26"/>
      <w:lang w:val="en-GB" w:eastAsia="en-US"/>
    </w:rPr>
  </w:style>
  <w:style w:type="paragraph" w:styleId="Heading2">
    <w:name w:val="heading 2"/>
    <w:basedOn w:val="Normal"/>
    <w:next w:val="Normal"/>
    <w:qFormat/>
    <w:rsid w:val="00001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Indent"/>
    <w:qFormat/>
    <w:rsid w:val="000017EB"/>
    <w:pPr>
      <w:numPr>
        <w:ilvl w:val="2"/>
        <w:numId w:val="1"/>
      </w:numPr>
      <w:tabs>
        <w:tab w:val="left" w:pos="851"/>
      </w:tabs>
      <w:spacing w:after="120"/>
      <w:jc w:val="both"/>
      <w:outlineLvl w:val="2"/>
    </w:pPr>
    <w:rPr>
      <w:rFonts w:ascii="Arial (W1)" w:eastAsia="Times New Roman" w:hAnsi="Arial (W1)" w:cs="Times New (W1)"/>
      <w:b/>
      <w:color w:val="1E7FB8"/>
      <w:sz w:val="22"/>
      <w:szCs w:val="22"/>
      <w:lang w:val="en-GB" w:eastAsia="en-US"/>
    </w:rPr>
  </w:style>
  <w:style w:type="paragraph" w:styleId="Heading4">
    <w:name w:val="heading 4"/>
    <w:basedOn w:val="Normal"/>
    <w:qFormat/>
    <w:rsid w:val="000017EB"/>
    <w:pPr>
      <w:numPr>
        <w:ilvl w:val="3"/>
        <w:numId w:val="1"/>
      </w:numPr>
      <w:tabs>
        <w:tab w:val="left" w:pos="851"/>
      </w:tabs>
      <w:spacing w:after="120"/>
      <w:jc w:val="both"/>
      <w:outlineLvl w:val="3"/>
    </w:pPr>
    <w:rPr>
      <w:rFonts w:ascii="Arial (W1)" w:eastAsia="Times New Roman" w:hAnsi="Arial (W1)" w:cs="Times New (W1)"/>
      <w:b/>
      <w:color w:val="1E7FB8"/>
      <w:sz w:val="20"/>
      <w:szCs w:val="20"/>
      <w:u w:val="single"/>
      <w:lang w:val="en-GB" w:eastAsia="en-US"/>
    </w:rPr>
  </w:style>
  <w:style w:type="paragraph" w:styleId="Heading5">
    <w:name w:val="heading 5"/>
    <w:basedOn w:val="Normal"/>
    <w:next w:val="Normal"/>
    <w:qFormat/>
    <w:rsid w:val="000017EB"/>
    <w:pPr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/>
      <w:sz w:val="22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0017EB"/>
    <w:pPr>
      <w:numPr>
        <w:ilvl w:val="5"/>
        <w:numId w:val="1"/>
      </w:numPr>
      <w:spacing w:before="240" w:after="60"/>
      <w:jc w:val="both"/>
      <w:outlineLvl w:val="5"/>
    </w:pPr>
    <w:rPr>
      <w:rFonts w:ascii="Arial" w:eastAsia="Times New Roman" w:hAnsi="Arial"/>
      <w:i/>
      <w:sz w:val="22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0017EB"/>
    <w:pPr>
      <w:numPr>
        <w:ilvl w:val="6"/>
        <w:numId w:val="1"/>
      </w:numPr>
      <w:spacing w:before="240" w:after="60"/>
      <w:jc w:val="both"/>
      <w:outlineLvl w:val="6"/>
    </w:pPr>
    <w:rPr>
      <w:rFonts w:ascii="Arial" w:eastAsia="Times New Roman" w:hAnsi="Arial"/>
      <w:sz w:val="20"/>
      <w:szCs w:val="20"/>
      <w:lang w:val="en-GB" w:eastAsia="en-US"/>
    </w:rPr>
  </w:style>
  <w:style w:type="paragraph" w:styleId="Heading8">
    <w:name w:val="heading 8"/>
    <w:basedOn w:val="Normal"/>
    <w:next w:val="Normal"/>
    <w:qFormat/>
    <w:rsid w:val="000017EB"/>
    <w:pPr>
      <w:numPr>
        <w:ilvl w:val="7"/>
        <w:numId w:val="1"/>
      </w:numPr>
      <w:spacing w:before="240" w:after="60"/>
      <w:jc w:val="both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Heading9">
    <w:name w:val="heading 9"/>
    <w:basedOn w:val="Normal"/>
    <w:next w:val="Normal"/>
    <w:qFormat/>
    <w:rsid w:val="000017E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17E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rsid w:val="000017EB"/>
    <w:pPr>
      <w:ind w:left="720"/>
      <w:jc w:val="both"/>
    </w:pPr>
    <w:rPr>
      <w:rFonts w:ascii="Arial" w:eastAsia="Times New Roman" w:hAnsi="Arial"/>
      <w:sz w:val="20"/>
      <w:lang w:eastAsia="en-US"/>
    </w:rPr>
  </w:style>
  <w:style w:type="paragraph" w:styleId="FootnoteText">
    <w:name w:val="footnote text"/>
    <w:basedOn w:val="Normal"/>
    <w:semiHidden/>
    <w:rsid w:val="000017EB"/>
    <w:pPr>
      <w:jc w:val="both"/>
    </w:pPr>
    <w:rPr>
      <w:rFonts w:ascii="Arial (W1)" w:eastAsia="Times New Roman" w:hAnsi="Arial (W1)" w:cs="Times New (W1)"/>
      <w:sz w:val="16"/>
      <w:szCs w:val="20"/>
      <w:lang w:eastAsia="en-US"/>
    </w:rPr>
  </w:style>
  <w:style w:type="paragraph" w:customStyle="1" w:styleId="StyleHeading2LatinArialComplexArial">
    <w:name w:val="Style Heading 2 + (Latin) Arial (Complex) Arial"/>
    <w:basedOn w:val="Heading2"/>
    <w:rsid w:val="000017EB"/>
    <w:pPr>
      <w:keepNext w:val="0"/>
      <w:numPr>
        <w:ilvl w:val="1"/>
        <w:numId w:val="1"/>
      </w:numPr>
      <w:pBdr>
        <w:top w:val="single" w:sz="4" w:space="1" w:color="447DB5"/>
      </w:pBdr>
      <w:tabs>
        <w:tab w:val="left" w:pos="851"/>
      </w:tabs>
      <w:spacing w:before="120" w:after="0"/>
      <w:jc w:val="both"/>
    </w:pPr>
    <w:rPr>
      <w:rFonts w:eastAsia="Times New Roman"/>
      <w:bCs w:val="0"/>
      <w:i w:val="0"/>
      <w:iCs w:val="0"/>
      <w:color w:val="447DB5"/>
      <w:sz w:val="24"/>
      <w:szCs w:val="24"/>
      <w:lang w:val="en-GB" w:eastAsia="en-US"/>
    </w:rPr>
  </w:style>
  <w:style w:type="character" w:styleId="FootnoteReference">
    <w:name w:val="footnote reference"/>
    <w:semiHidden/>
    <w:rsid w:val="000017EB"/>
    <w:rPr>
      <w:vertAlign w:val="superscript"/>
    </w:rPr>
  </w:style>
  <w:style w:type="numbering" w:styleId="111111">
    <w:name w:val="Outline List 2"/>
    <w:basedOn w:val="NoList"/>
    <w:rsid w:val="000017EB"/>
    <w:pPr>
      <w:numPr>
        <w:numId w:val="2"/>
      </w:numPr>
    </w:pPr>
  </w:style>
  <w:style w:type="paragraph" w:styleId="Header">
    <w:name w:val="header"/>
    <w:basedOn w:val="Normal"/>
    <w:rsid w:val="000017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17EB"/>
  </w:style>
  <w:style w:type="paragraph" w:styleId="Footer">
    <w:name w:val="footer"/>
    <w:basedOn w:val="Normal"/>
    <w:rsid w:val="008D071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D07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61D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61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61DB6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361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61DB6"/>
    <w:rPr>
      <w:b/>
      <w:bCs/>
      <w:lang w:val="en-US"/>
    </w:rPr>
  </w:style>
  <w:style w:type="paragraph" w:styleId="Revision">
    <w:name w:val="Revision"/>
    <w:hidden/>
    <w:uiPriority w:val="99"/>
    <w:semiHidden/>
    <w:rsid w:val="00361DB6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589A1-8D35-4244-8612-CD23BC65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GDF Expand TB Company Questionnaire</vt:lpstr>
    </vt:vector>
  </TitlesOfParts>
  <Company>World Health Organization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GDF Expand TB Company Questionnaire</dc:title>
  <dc:creator>Loeberj</dc:creator>
  <cp:lastModifiedBy>VERGES, Thomas</cp:lastModifiedBy>
  <cp:revision>5</cp:revision>
  <cp:lastPrinted>2013-03-06T13:34:00Z</cp:lastPrinted>
  <dcterms:created xsi:type="dcterms:W3CDTF">2013-03-06T15:33:00Z</dcterms:created>
  <dcterms:modified xsi:type="dcterms:W3CDTF">2013-03-11T16:00:00Z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-209104160</vt:i4>
  </property>
  <property fmtid="{D5CDD505-2E9C-101B-9397-08002B2CF9AE}" pid="3" name="_NewReviewCycle">
    <vt:lpwstr/>
  </property>
  <property fmtid="{D5CDD505-2E9C-101B-9397-08002B2CF9AE}" pid="4" name="_EmailSubject">
    <vt:lpwstr>EOI EXPANDx-TB Wholesaler</vt:lpwstr>
  </property>
  <property fmtid="{D5CDD505-2E9C-101B-9397-08002B2CF9AE}" pid="5" name="_AuthorEmail">
    <vt:lpwstr>loeberj@who.int</vt:lpwstr>
  </property>
  <property fmtid="{D5CDD505-2E9C-101B-9397-08002B2CF9AE}" pid="6" name="_AuthorEmailDisplayName">
    <vt:lpwstr>LOEBER, John Henry Frank</vt:lpwstr>
  </property>
  <property fmtid="{D5CDD505-2E9C-101B-9397-08002B2CF9AE}" pid="7" name="_PreviousAdHocReviewCycleID">
    <vt:i4>-348352125</vt:i4>
  </property>
  <property fmtid="{D5CDD505-2E9C-101B-9397-08002B2CF9AE}" pid="8" name="_ReviewingToolsShownOnce">
    <vt:lpwstr/>
  </property>
</Properties>
</file>