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17" w:rsidRPr="003E6B17" w:rsidRDefault="004F6997" w:rsidP="008B798E">
      <w:pPr>
        <w:spacing w:after="0"/>
        <w:rPr>
          <w:b/>
        </w:rPr>
      </w:pPr>
      <w:r>
        <w:rPr>
          <w:b/>
        </w:rPr>
        <w:t xml:space="preserve">Updates </w:t>
      </w:r>
      <w:r w:rsidR="003E6B17" w:rsidRPr="003E6B17">
        <w:rPr>
          <w:b/>
        </w:rPr>
        <w:t>on the Shorter Regimen and SL-LPA</w:t>
      </w:r>
    </w:p>
    <w:p w:rsidR="003E6B17" w:rsidRDefault="003E6B17" w:rsidP="00693D20">
      <w:pPr>
        <w:spacing w:after="0"/>
      </w:pPr>
      <w:r>
        <w:t>Liverpool</w:t>
      </w:r>
      <w:bookmarkStart w:id="0" w:name="_GoBack"/>
      <w:bookmarkEnd w:id="0"/>
      <w:r>
        <w:t xml:space="preserve"> Union Conference, </w:t>
      </w:r>
      <w:r w:rsidR="00611E89">
        <w:t>29</w:t>
      </w:r>
      <w:r>
        <w:t xml:space="preserve"> Oct 2016</w:t>
      </w:r>
    </w:p>
    <w:p w:rsidR="00693D20" w:rsidRDefault="00693D20" w:rsidP="00693D20">
      <w:pPr>
        <w:spacing w:after="0"/>
      </w:pPr>
    </w:p>
    <w:p w:rsidR="00693D20" w:rsidRPr="006F22E3" w:rsidRDefault="00693D20" w:rsidP="00693D20">
      <w:pPr>
        <w:spacing w:after="0"/>
        <w:rPr>
          <w:b/>
        </w:rPr>
      </w:pPr>
      <w:r w:rsidRPr="006F22E3">
        <w:rPr>
          <w:b/>
        </w:rPr>
        <w:t>Meeting n</w:t>
      </w:r>
      <w:r w:rsidR="00A944E1" w:rsidRPr="006F22E3">
        <w:rPr>
          <w:b/>
        </w:rPr>
        <w:t>otes</w:t>
      </w:r>
      <w:r w:rsidRPr="006F22E3">
        <w:rPr>
          <w:b/>
        </w:rPr>
        <w:t xml:space="preserve">: </w:t>
      </w:r>
    </w:p>
    <w:p w:rsidR="00A944E1" w:rsidRPr="004826A8" w:rsidRDefault="00A944E1" w:rsidP="00693D20">
      <w:pPr>
        <w:spacing w:after="0"/>
      </w:pPr>
      <w:r w:rsidRPr="004826A8">
        <w:t xml:space="preserve">A GDI </w:t>
      </w:r>
      <w:r w:rsidR="00693D20" w:rsidRPr="004826A8">
        <w:t xml:space="preserve">DR-TB </w:t>
      </w:r>
      <w:r w:rsidRPr="004826A8">
        <w:t xml:space="preserve">Research Task Force project aims to establish a venue for sharing updates regarding the introduction and use of the Shorter </w:t>
      </w:r>
      <w:r w:rsidR="00693D20" w:rsidRPr="004826A8">
        <w:t xml:space="preserve">Treatment </w:t>
      </w:r>
      <w:r w:rsidRPr="004826A8">
        <w:t>Regimen</w:t>
      </w:r>
      <w:r w:rsidR="00693D20" w:rsidRPr="004826A8">
        <w:t xml:space="preserve"> (STR) and</w:t>
      </w:r>
      <w:r w:rsidRPr="004826A8">
        <w:t xml:space="preserve"> SL-LPA in countries, challenges encountered, lessons learned and technical assistance needed. KNCV Agnes </w:t>
      </w:r>
      <w:proofErr w:type="spellStart"/>
      <w:r w:rsidRPr="004826A8">
        <w:t>Gebhard</w:t>
      </w:r>
      <w:proofErr w:type="spellEnd"/>
      <w:r w:rsidRPr="004826A8">
        <w:t xml:space="preserve"> leads the Task Force and will be collaborating with other technical partners such as the UNION, and DR-TB STAT which regularly holds a conference call regarding the use of the new drugs</w:t>
      </w:r>
      <w:r w:rsidR="00693D20" w:rsidRPr="004826A8">
        <w:t xml:space="preserve"> in countries</w:t>
      </w:r>
      <w:r w:rsidRPr="004826A8">
        <w:t xml:space="preserve">. Updates on STR will be </w:t>
      </w:r>
      <w:r w:rsidR="00693D20" w:rsidRPr="004826A8">
        <w:t xml:space="preserve">included in the </w:t>
      </w:r>
      <w:r w:rsidRPr="004826A8">
        <w:t xml:space="preserve">existing </w:t>
      </w:r>
      <w:r w:rsidR="00693D20" w:rsidRPr="004826A8">
        <w:t xml:space="preserve">DR-STAT </w:t>
      </w:r>
      <w:r w:rsidRPr="004826A8">
        <w:t>calls</w:t>
      </w:r>
      <w:r w:rsidR="00693D20" w:rsidRPr="004826A8">
        <w:t xml:space="preserve"> on new drugs</w:t>
      </w:r>
      <w:r w:rsidRPr="004826A8">
        <w:t xml:space="preserve">. </w:t>
      </w:r>
      <w:r w:rsidR="00693D20" w:rsidRPr="004826A8">
        <w:t>Below are country updates on STR</w:t>
      </w:r>
      <w:r w:rsidR="00483D4E" w:rsidRPr="004826A8">
        <w:t>, (the new drugs), and</w:t>
      </w:r>
      <w:r w:rsidR="00693D20" w:rsidRPr="004826A8">
        <w:t xml:space="preserve"> SL-LPA. </w:t>
      </w:r>
      <w:r w:rsidRPr="004826A8">
        <w:t xml:space="preserve">   </w:t>
      </w:r>
    </w:p>
    <w:p w:rsidR="00693D20" w:rsidRDefault="00693D20" w:rsidP="00693D2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770"/>
        <w:gridCol w:w="3145"/>
      </w:tblGrid>
      <w:tr w:rsidR="0002428D" w:rsidTr="000563F4">
        <w:tc>
          <w:tcPr>
            <w:tcW w:w="1435" w:type="dxa"/>
          </w:tcPr>
          <w:p w:rsidR="00A944E1" w:rsidRPr="000563F4" w:rsidRDefault="00A944E1">
            <w:pPr>
              <w:rPr>
                <w:b/>
                <w:sz w:val="20"/>
                <w:szCs w:val="20"/>
              </w:rPr>
            </w:pPr>
            <w:r w:rsidRPr="000563F4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4770" w:type="dxa"/>
          </w:tcPr>
          <w:p w:rsidR="00A944E1" w:rsidRPr="000563F4" w:rsidRDefault="00A944E1">
            <w:pPr>
              <w:rPr>
                <w:b/>
                <w:sz w:val="20"/>
                <w:szCs w:val="20"/>
              </w:rPr>
            </w:pPr>
            <w:r w:rsidRPr="000563F4">
              <w:rPr>
                <w:b/>
                <w:sz w:val="20"/>
                <w:szCs w:val="20"/>
              </w:rPr>
              <w:t xml:space="preserve">Shorter </w:t>
            </w:r>
            <w:r w:rsidR="0040339F" w:rsidRPr="000563F4">
              <w:rPr>
                <w:b/>
                <w:sz w:val="20"/>
                <w:szCs w:val="20"/>
              </w:rPr>
              <w:t xml:space="preserve">treatment </w:t>
            </w:r>
            <w:r w:rsidRPr="000563F4">
              <w:rPr>
                <w:b/>
                <w:sz w:val="20"/>
                <w:szCs w:val="20"/>
              </w:rPr>
              <w:t>regimen</w:t>
            </w:r>
            <w:r w:rsidR="0040339F" w:rsidRPr="000563F4">
              <w:rPr>
                <w:b/>
                <w:sz w:val="20"/>
                <w:szCs w:val="20"/>
              </w:rPr>
              <w:t xml:space="preserve"> (STR)</w:t>
            </w:r>
            <w:r w:rsidR="005734CF" w:rsidRPr="000563F4">
              <w:rPr>
                <w:b/>
                <w:sz w:val="20"/>
                <w:szCs w:val="20"/>
              </w:rPr>
              <w:t>, new drugs</w:t>
            </w:r>
            <w:r w:rsidRPr="000563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45" w:type="dxa"/>
          </w:tcPr>
          <w:p w:rsidR="00A944E1" w:rsidRPr="000563F4" w:rsidRDefault="00A944E1">
            <w:pPr>
              <w:rPr>
                <w:b/>
                <w:sz w:val="20"/>
                <w:szCs w:val="20"/>
              </w:rPr>
            </w:pPr>
            <w:r w:rsidRPr="000563F4">
              <w:rPr>
                <w:b/>
                <w:sz w:val="20"/>
                <w:szCs w:val="20"/>
              </w:rPr>
              <w:t>SL-LPA</w:t>
            </w:r>
          </w:p>
        </w:tc>
      </w:tr>
      <w:tr w:rsidR="0002428D" w:rsidTr="000563F4">
        <w:tc>
          <w:tcPr>
            <w:tcW w:w="1435" w:type="dxa"/>
          </w:tcPr>
          <w:p w:rsidR="00D47341" w:rsidRPr="000563F4" w:rsidRDefault="00D47341" w:rsidP="00D47341">
            <w:pPr>
              <w:rPr>
                <w:b/>
                <w:sz w:val="20"/>
                <w:szCs w:val="20"/>
              </w:rPr>
            </w:pPr>
            <w:r w:rsidRPr="000563F4">
              <w:rPr>
                <w:b/>
                <w:sz w:val="20"/>
                <w:szCs w:val="20"/>
              </w:rPr>
              <w:t>Bangladesh</w:t>
            </w:r>
          </w:p>
        </w:tc>
        <w:tc>
          <w:tcPr>
            <w:tcW w:w="4770" w:type="dxa"/>
          </w:tcPr>
          <w:p w:rsidR="00D47341" w:rsidRPr="000563F4" w:rsidRDefault="00D47341" w:rsidP="00D4734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563F4">
              <w:rPr>
                <w:b/>
                <w:bCs/>
                <w:sz w:val="20"/>
                <w:szCs w:val="20"/>
              </w:rPr>
              <w:t>STR</w:t>
            </w:r>
            <w:r w:rsidRPr="000563F4">
              <w:rPr>
                <w:sz w:val="20"/>
                <w:szCs w:val="20"/>
              </w:rPr>
              <w:t xml:space="preserve"> drugs have been ordered and will arrive next year </w:t>
            </w:r>
          </w:p>
          <w:p w:rsidR="00D47341" w:rsidRPr="000563F4" w:rsidRDefault="003306B3" w:rsidP="00D4734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563F4">
              <w:rPr>
                <w:b/>
                <w:sz w:val="20"/>
                <w:szCs w:val="20"/>
              </w:rPr>
              <w:t>Bdq</w:t>
            </w:r>
            <w:proofErr w:type="spellEnd"/>
            <w:r w:rsidRPr="000563F4">
              <w:rPr>
                <w:sz w:val="20"/>
                <w:szCs w:val="20"/>
              </w:rPr>
              <w:t>:</w:t>
            </w:r>
            <w:r w:rsidR="00D47341" w:rsidRPr="000563F4">
              <w:rPr>
                <w:sz w:val="20"/>
                <w:szCs w:val="20"/>
              </w:rPr>
              <w:t xml:space="preserve"> 106 enrolled by year end (40 started in June 2016</w:t>
            </w:r>
            <w:r w:rsidRPr="000563F4">
              <w:rPr>
                <w:sz w:val="20"/>
                <w:szCs w:val="20"/>
              </w:rPr>
              <w:t>)</w:t>
            </w:r>
          </w:p>
          <w:p w:rsidR="00D47341" w:rsidRPr="000563F4" w:rsidRDefault="00D47341" w:rsidP="00D4734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 xml:space="preserve">Challenge: bed space in NIDCH </w:t>
            </w:r>
          </w:p>
        </w:tc>
        <w:tc>
          <w:tcPr>
            <w:tcW w:w="3145" w:type="dxa"/>
          </w:tcPr>
          <w:p w:rsidR="0002428D" w:rsidRPr="000563F4" w:rsidRDefault="00D47341" w:rsidP="00D47341">
            <w:pPr>
              <w:spacing w:before="100" w:beforeAutospacing="1" w:after="100" w:afterAutospacing="1"/>
              <w:rPr>
                <w:b/>
                <w:bCs/>
                <w:color w:val="FF0000"/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 xml:space="preserve">NTRL </w:t>
            </w:r>
            <w:r w:rsidR="003306B3" w:rsidRPr="000563F4">
              <w:rPr>
                <w:sz w:val="20"/>
                <w:szCs w:val="20"/>
              </w:rPr>
              <w:t>can</w:t>
            </w:r>
            <w:r w:rsidRPr="000563F4">
              <w:rPr>
                <w:sz w:val="20"/>
                <w:szCs w:val="20"/>
              </w:rPr>
              <w:t xml:space="preserve"> perform </w:t>
            </w:r>
            <w:r w:rsidRPr="000563F4">
              <w:rPr>
                <w:b/>
                <w:sz w:val="20"/>
                <w:szCs w:val="20"/>
              </w:rPr>
              <w:t>SL-LPA</w:t>
            </w:r>
            <w:r w:rsidR="003306B3" w:rsidRPr="000563F4">
              <w:rPr>
                <w:sz w:val="20"/>
                <w:szCs w:val="20"/>
              </w:rPr>
              <w:t>. 500 SL-</w:t>
            </w:r>
            <w:r w:rsidRPr="000563F4">
              <w:rPr>
                <w:sz w:val="20"/>
                <w:szCs w:val="20"/>
              </w:rPr>
              <w:t>LPA tes</w:t>
            </w:r>
            <w:r w:rsidR="003306B3" w:rsidRPr="000563F4">
              <w:rPr>
                <w:sz w:val="20"/>
                <w:szCs w:val="20"/>
              </w:rPr>
              <w:t>t kits are already in country (</w:t>
            </w:r>
            <w:r w:rsidRPr="000563F4">
              <w:rPr>
                <w:sz w:val="20"/>
                <w:szCs w:val="20"/>
              </w:rPr>
              <w:t xml:space="preserve">procured by </w:t>
            </w:r>
            <w:proofErr w:type="spellStart"/>
            <w:r w:rsidRPr="000563F4">
              <w:rPr>
                <w:sz w:val="20"/>
                <w:szCs w:val="20"/>
              </w:rPr>
              <w:t>endTB</w:t>
            </w:r>
            <w:proofErr w:type="spellEnd"/>
            <w:r w:rsidRPr="000563F4">
              <w:rPr>
                <w:sz w:val="20"/>
                <w:szCs w:val="20"/>
              </w:rPr>
              <w:t xml:space="preserve"> pr</w:t>
            </w:r>
            <w:r w:rsidR="003306B3" w:rsidRPr="000563F4">
              <w:rPr>
                <w:sz w:val="20"/>
                <w:szCs w:val="20"/>
              </w:rPr>
              <w:t>oject/IRD); and expecting to start</w:t>
            </w:r>
            <w:r w:rsidRPr="000563F4">
              <w:rPr>
                <w:sz w:val="20"/>
                <w:szCs w:val="20"/>
              </w:rPr>
              <w:t xml:space="preserve"> SL-LPA soon. CTB has plan and budget (in APA3) for 1500 SL-LPA test kit</w:t>
            </w:r>
            <w:r w:rsidR="003306B3" w:rsidRPr="000563F4">
              <w:rPr>
                <w:sz w:val="20"/>
                <w:szCs w:val="20"/>
              </w:rPr>
              <w:t>s</w:t>
            </w:r>
            <w:r w:rsidRPr="000563F4">
              <w:rPr>
                <w:b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02428D" w:rsidTr="000563F4">
        <w:tc>
          <w:tcPr>
            <w:tcW w:w="1435" w:type="dxa"/>
          </w:tcPr>
          <w:p w:rsidR="0040339F" w:rsidRPr="000563F4" w:rsidRDefault="0040339F" w:rsidP="00356A20">
            <w:pPr>
              <w:rPr>
                <w:b/>
                <w:sz w:val="20"/>
                <w:szCs w:val="20"/>
              </w:rPr>
            </w:pPr>
            <w:r w:rsidRPr="000563F4">
              <w:rPr>
                <w:b/>
                <w:sz w:val="20"/>
                <w:szCs w:val="20"/>
              </w:rPr>
              <w:t xml:space="preserve">India </w:t>
            </w:r>
          </w:p>
        </w:tc>
        <w:tc>
          <w:tcPr>
            <w:tcW w:w="4770" w:type="dxa"/>
          </w:tcPr>
          <w:p w:rsidR="0002428D" w:rsidRPr="000563F4" w:rsidRDefault="003306B3" w:rsidP="0002428D">
            <w:pPr>
              <w:rPr>
                <w:sz w:val="20"/>
                <w:szCs w:val="20"/>
                <w:lang w:val="en-IN"/>
              </w:rPr>
            </w:pPr>
            <w:r w:rsidRPr="000563F4">
              <w:rPr>
                <w:b/>
                <w:sz w:val="20"/>
                <w:szCs w:val="20"/>
              </w:rPr>
              <w:t>STR:</w:t>
            </w:r>
            <w:r w:rsidR="0002428D" w:rsidRPr="000563F4">
              <w:rPr>
                <w:b/>
                <w:sz w:val="20"/>
                <w:szCs w:val="20"/>
              </w:rPr>
              <w:t xml:space="preserve"> </w:t>
            </w:r>
            <w:r w:rsidR="0002428D" w:rsidRPr="000563F4">
              <w:rPr>
                <w:sz w:val="20"/>
                <w:szCs w:val="20"/>
                <w:lang w:val="en-IN"/>
              </w:rPr>
              <w:t xml:space="preserve">The Expert Committee recommended its implementation and was approved by the high level ‘TB Diagnostics &amp; Treatment Committee’. Detailed plans are being worked out in the coming months. India already has </w:t>
            </w:r>
            <w:proofErr w:type="spellStart"/>
            <w:r w:rsidR="0002428D" w:rsidRPr="000563F4">
              <w:rPr>
                <w:sz w:val="20"/>
                <w:szCs w:val="20"/>
                <w:lang w:val="en-IN"/>
              </w:rPr>
              <w:t>Bdq</w:t>
            </w:r>
            <w:proofErr w:type="spellEnd"/>
            <w:r w:rsidR="0002428D" w:rsidRPr="000563F4">
              <w:rPr>
                <w:sz w:val="20"/>
                <w:szCs w:val="20"/>
                <w:lang w:val="en-IN"/>
              </w:rPr>
              <w:t xml:space="preserve"> CAP in six sites across the country and these could be the sites for introducing STR. </w:t>
            </w:r>
          </w:p>
          <w:p w:rsidR="0002428D" w:rsidRPr="000563F4" w:rsidRDefault="003306B3" w:rsidP="00356A20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 xml:space="preserve"> </w:t>
            </w:r>
          </w:p>
          <w:p w:rsidR="003306B3" w:rsidRPr="000563F4" w:rsidRDefault="0002428D" w:rsidP="00356A20">
            <w:pPr>
              <w:rPr>
                <w:sz w:val="20"/>
                <w:szCs w:val="20"/>
              </w:rPr>
            </w:pPr>
            <w:proofErr w:type="spellStart"/>
            <w:r w:rsidRPr="000563F4">
              <w:rPr>
                <w:b/>
                <w:sz w:val="20"/>
                <w:szCs w:val="20"/>
              </w:rPr>
              <w:t>Bdq</w:t>
            </w:r>
            <w:proofErr w:type="spellEnd"/>
            <w:r w:rsidRPr="000563F4">
              <w:rPr>
                <w:b/>
                <w:sz w:val="20"/>
                <w:szCs w:val="20"/>
              </w:rPr>
              <w:t>:</w:t>
            </w:r>
            <w:r w:rsidRPr="000563F4">
              <w:rPr>
                <w:sz w:val="20"/>
                <w:szCs w:val="20"/>
              </w:rPr>
              <w:t xml:space="preserve">  86 patients enrolled a</w:t>
            </w:r>
            <w:r w:rsidR="0040339F" w:rsidRPr="000563F4">
              <w:rPr>
                <w:sz w:val="20"/>
                <w:szCs w:val="20"/>
              </w:rPr>
              <w:t>s of Sept</w:t>
            </w:r>
            <w:r w:rsidR="003306B3" w:rsidRPr="000563F4">
              <w:rPr>
                <w:sz w:val="20"/>
                <w:szCs w:val="20"/>
              </w:rPr>
              <w:t xml:space="preserve"> 2016</w:t>
            </w:r>
            <w:r w:rsidR="0040339F" w:rsidRPr="000563F4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8"/>
              <w:gridCol w:w="1464"/>
            </w:tblGrid>
            <w:tr w:rsidR="0002428D" w:rsidRPr="000563F4" w:rsidTr="0002428D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2428D" w:rsidRPr="000563F4" w:rsidRDefault="0002428D" w:rsidP="0002428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428D" w:rsidRPr="000563F4" w:rsidRDefault="0002428D" w:rsidP="0002428D">
                  <w:pPr>
                    <w:spacing w:after="0"/>
                    <w:rPr>
                      <w:sz w:val="20"/>
                      <w:szCs w:val="20"/>
                    </w:rPr>
                  </w:pPr>
                  <w:r w:rsidRPr="000563F4">
                    <w:rPr>
                      <w:sz w:val="20"/>
                      <w:szCs w:val="20"/>
                    </w:rPr>
                    <w:t xml:space="preserve">Targets for </w:t>
                  </w:r>
                  <w:proofErr w:type="spellStart"/>
                  <w:r w:rsidRPr="000563F4">
                    <w:rPr>
                      <w:sz w:val="20"/>
                      <w:szCs w:val="20"/>
                    </w:rPr>
                    <w:t>Bdq</w:t>
                  </w:r>
                  <w:proofErr w:type="spellEnd"/>
                </w:p>
              </w:tc>
            </w:tr>
            <w:tr w:rsidR="0002428D" w:rsidRPr="000563F4" w:rsidTr="0002428D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428D" w:rsidRPr="000563F4" w:rsidRDefault="0002428D" w:rsidP="0002428D">
                  <w:pPr>
                    <w:spacing w:after="0"/>
                    <w:rPr>
                      <w:sz w:val="20"/>
                      <w:szCs w:val="20"/>
                    </w:rPr>
                  </w:pPr>
                  <w:r w:rsidRPr="000563F4">
                    <w:rPr>
                      <w:sz w:val="20"/>
                      <w:szCs w:val="20"/>
                    </w:rPr>
                    <w:t>Year 1 (end 2016)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428D" w:rsidRPr="000563F4" w:rsidRDefault="0002428D" w:rsidP="0002428D">
                  <w:pPr>
                    <w:spacing w:after="0"/>
                    <w:rPr>
                      <w:sz w:val="20"/>
                      <w:szCs w:val="20"/>
                    </w:rPr>
                  </w:pPr>
                  <w:r w:rsidRPr="000563F4">
                    <w:rPr>
                      <w:sz w:val="20"/>
                      <w:szCs w:val="20"/>
                    </w:rPr>
                    <w:t>  150</w:t>
                  </w:r>
                </w:p>
              </w:tc>
            </w:tr>
            <w:tr w:rsidR="0002428D" w:rsidRPr="000563F4" w:rsidTr="0002428D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428D" w:rsidRPr="000563F4" w:rsidRDefault="0002428D" w:rsidP="0002428D">
                  <w:pPr>
                    <w:spacing w:after="0"/>
                    <w:rPr>
                      <w:sz w:val="20"/>
                      <w:szCs w:val="20"/>
                    </w:rPr>
                  </w:pPr>
                  <w:r w:rsidRPr="000563F4">
                    <w:rPr>
                      <w:sz w:val="20"/>
                      <w:szCs w:val="20"/>
                    </w:rPr>
                    <w:t>Year 2 (end 2017)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428D" w:rsidRPr="000563F4" w:rsidRDefault="0002428D" w:rsidP="0002428D">
                  <w:pPr>
                    <w:spacing w:after="0"/>
                    <w:rPr>
                      <w:sz w:val="20"/>
                      <w:szCs w:val="20"/>
                    </w:rPr>
                  </w:pPr>
                  <w:r w:rsidRPr="000563F4">
                    <w:rPr>
                      <w:sz w:val="20"/>
                      <w:szCs w:val="20"/>
                    </w:rPr>
                    <w:t>1450</w:t>
                  </w:r>
                </w:p>
              </w:tc>
            </w:tr>
            <w:tr w:rsidR="0002428D" w:rsidRPr="000563F4" w:rsidTr="0002428D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428D" w:rsidRPr="000563F4" w:rsidRDefault="000563F4" w:rsidP="0002428D">
                  <w:pPr>
                    <w:spacing w:after="0"/>
                    <w:rPr>
                      <w:sz w:val="20"/>
                      <w:szCs w:val="20"/>
                    </w:rPr>
                  </w:pPr>
                  <w:r w:rsidRPr="000563F4">
                    <w:rPr>
                      <w:sz w:val="20"/>
                      <w:szCs w:val="20"/>
                    </w:rPr>
                    <w:t>Y</w:t>
                  </w:r>
                  <w:r w:rsidR="0002428D" w:rsidRPr="000563F4">
                    <w:rPr>
                      <w:sz w:val="20"/>
                      <w:szCs w:val="20"/>
                    </w:rPr>
                    <w:t xml:space="preserve">ear 3 (end </w:t>
                  </w:r>
                  <w:r w:rsidRPr="000563F4">
                    <w:rPr>
                      <w:sz w:val="20"/>
                      <w:szCs w:val="20"/>
                    </w:rPr>
                    <w:t>2</w:t>
                  </w:r>
                  <w:r w:rsidR="0002428D" w:rsidRPr="000563F4">
                    <w:rPr>
                      <w:sz w:val="20"/>
                      <w:szCs w:val="20"/>
                    </w:rPr>
                    <w:t>018)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428D" w:rsidRPr="000563F4" w:rsidRDefault="0002428D" w:rsidP="0002428D">
                  <w:pPr>
                    <w:spacing w:after="0"/>
                    <w:rPr>
                      <w:sz w:val="20"/>
                      <w:szCs w:val="20"/>
                    </w:rPr>
                  </w:pPr>
                  <w:r w:rsidRPr="000563F4">
                    <w:rPr>
                      <w:sz w:val="20"/>
                      <w:szCs w:val="20"/>
                    </w:rPr>
                    <w:t>2000</w:t>
                  </w:r>
                </w:p>
              </w:tc>
            </w:tr>
            <w:tr w:rsidR="0002428D" w:rsidRPr="000563F4" w:rsidTr="0002428D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428D" w:rsidRPr="000563F4" w:rsidRDefault="0002428D" w:rsidP="0002428D">
                  <w:pPr>
                    <w:spacing w:after="0"/>
                    <w:rPr>
                      <w:sz w:val="20"/>
                      <w:szCs w:val="20"/>
                    </w:rPr>
                  </w:pPr>
                  <w:r w:rsidRPr="000563F4">
                    <w:rPr>
                      <w:sz w:val="20"/>
                      <w:szCs w:val="20"/>
                    </w:rPr>
                    <w:t>Year 4 ( end 2019)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428D" w:rsidRPr="000563F4" w:rsidRDefault="0002428D" w:rsidP="0002428D">
                  <w:pPr>
                    <w:spacing w:after="0"/>
                    <w:rPr>
                      <w:sz w:val="20"/>
                      <w:szCs w:val="20"/>
                    </w:rPr>
                  </w:pPr>
                  <w:r w:rsidRPr="000563F4">
                    <w:rPr>
                      <w:sz w:val="20"/>
                      <w:szCs w:val="20"/>
                    </w:rPr>
                    <w:t>4000</w:t>
                  </w:r>
                </w:p>
              </w:tc>
            </w:tr>
            <w:tr w:rsidR="0002428D" w:rsidRPr="000563F4" w:rsidTr="0002428D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428D" w:rsidRPr="000563F4" w:rsidRDefault="0002428D" w:rsidP="0002428D">
                  <w:pPr>
                    <w:spacing w:after="0"/>
                    <w:rPr>
                      <w:sz w:val="20"/>
                      <w:szCs w:val="20"/>
                    </w:rPr>
                  </w:pPr>
                  <w:r w:rsidRPr="000563F4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2428D" w:rsidRPr="000563F4" w:rsidRDefault="0002428D" w:rsidP="0002428D">
                  <w:pPr>
                    <w:spacing w:after="0"/>
                    <w:rPr>
                      <w:sz w:val="20"/>
                      <w:szCs w:val="20"/>
                    </w:rPr>
                  </w:pPr>
                  <w:r w:rsidRPr="000563F4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</w:tbl>
          <w:p w:rsidR="0040339F" w:rsidRPr="000563F4" w:rsidRDefault="0040339F" w:rsidP="00356A20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6 sites implementing</w:t>
            </w:r>
            <w:r w:rsidR="000563F4" w:rsidRPr="000563F4">
              <w:rPr>
                <w:sz w:val="20"/>
                <w:szCs w:val="20"/>
              </w:rPr>
              <w:t xml:space="preserve"> (increased to 20 in APA3) </w:t>
            </w:r>
          </w:p>
          <w:p w:rsidR="000563F4" w:rsidRPr="000563F4" w:rsidRDefault="0040339F" w:rsidP="000563F4">
            <w:pPr>
              <w:rPr>
                <w:sz w:val="20"/>
                <w:szCs w:val="20"/>
                <w:lang w:val="en-IN"/>
              </w:rPr>
            </w:pPr>
            <w:r w:rsidRPr="000563F4">
              <w:rPr>
                <w:sz w:val="20"/>
                <w:szCs w:val="20"/>
              </w:rPr>
              <w:t xml:space="preserve">Expert committee has </w:t>
            </w:r>
            <w:r w:rsidR="000563F4" w:rsidRPr="000563F4">
              <w:rPr>
                <w:sz w:val="20"/>
                <w:szCs w:val="20"/>
              </w:rPr>
              <w:t>revised eligibility</w:t>
            </w:r>
            <w:r w:rsidR="000563F4" w:rsidRPr="000563F4">
              <w:rPr>
                <w:sz w:val="20"/>
                <w:szCs w:val="20"/>
                <w:lang w:val="en-IN"/>
              </w:rPr>
              <w:t xml:space="preserve">: include cases with any FQ resistance and mixed pattern resistance (any FLD/SLI/FQ, </w:t>
            </w:r>
            <w:proofErr w:type="spellStart"/>
            <w:r w:rsidR="000563F4" w:rsidRPr="000563F4">
              <w:rPr>
                <w:sz w:val="20"/>
                <w:szCs w:val="20"/>
                <w:lang w:val="en-IN"/>
              </w:rPr>
              <w:t>Lzd</w:t>
            </w:r>
            <w:proofErr w:type="spellEnd"/>
            <w:r w:rsidR="000563F4" w:rsidRPr="000563F4">
              <w:rPr>
                <w:sz w:val="20"/>
                <w:szCs w:val="20"/>
                <w:lang w:val="en-IN"/>
              </w:rPr>
              <w:t xml:space="preserve">), in contrast to earlier criterion of resistance to all FQ. </w:t>
            </w:r>
          </w:p>
          <w:p w:rsidR="000563F4" w:rsidRPr="000563F4" w:rsidRDefault="000563F4" w:rsidP="00356A20">
            <w:pPr>
              <w:rPr>
                <w:b/>
                <w:sz w:val="20"/>
                <w:szCs w:val="20"/>
              </w:rPr>
            </w:pPr>
          </w:p>
          <w:p w:rsidR="0040339F" w:rsidRPr="000563F4" w:rsidRDefault="0040339F" w:rsidP="00356A20">
            <w:pPr>
              <w:rPr>
                <w:sz w:val="20"/>
                <w:szCs w:val="20"/>
              </w:rPr>
            </w:pPr>
            <w:proofErr w:type="spellStart"/>
            <w:r w:rsidRPr="000563F4">
              <w:rPr>
                <w:b/>
                <w:sz w:val="20"/>
                <w:szCs w:val="20"/>
              </w:rPr>
              <w:t>D</w:t>
            </w:r>
            <w:r w:rsidR="003306B3" w:rsidRPr="000563F4">
              <w:rPr>
                <w:b/>
                <w:sz w:val="20"/>
                <w:szCs w:val="20"/>
              </w:rPr>
              <w:t>lm</w:t>
            </w:r>
            <w:proofErr w:type="spellEnd"/>
            <w:r w:rsidR="003306B3" w:rsidRPr="000563F4">
              <w:rPr>
                <w:sz w:val="20"/>
                <w:szCs w:val="20"/>
              </w:rPr>
              <w:t>:</w:t>
            </w:r>
            <w:r w:rsidRPr="000563F4">
              <w:rPr>
                <w:sz w:val="20"/>
                <w:szCs w:val="20"/>
              </w:rPr>
              <w:t xml:space="preserve"> guidelines </w:t>
            </w:r>
            <w:r w:rsidR="000563F4" w:rsidRPr="000563F4">
              <w:rPr>
                <w:sz w:val="20"/>
                <w:szCs w:val="20"/>
              </w:rPr>
              <w:t>ready by Q1 2017, discussions with Otsuka held.</w:t>
            </w:r>
            <w:r w:rsidRPr="000563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5" w:type="dxa"/>
          </w:tcPr>
          <w:p w:rsidR="0040339F" w:rsidRPr="00BC5F4E" w:rsidRDefault="003306B3" w:rsidP="00356A20">
            <w:pPr>
              <w:rPr>
                <w:sz w:val="20"/>
                <w:szCs w:val="20"/>
              </w:rPr>
            </w:pPr>
            <w:r w:rsidRPr="00BC5F4E">
              <w:rPr>
                <w:sz w:val="20"/>
                <w:szCs w:val="20"/>
              </w:rPr>
              <w:t>Has s</w:t>
            </w:r>
            <w:r w:rsidR="0040339F" w:rsidRPr="00BC5F4E">
              <w:rPr>
                <w:sz w:val="20"/>
                <w:szCs w:val="20"/>
              </w:rPr>
              <w:t>trong network of culture and DST</w:t>
            </w:r>
            <w:r w:rsidRPr="00BC5F4E">
              <w:rPr>
                <w:sz w:val="20"/>
                <w:szCs w:val="20"/>
              </w:rPr>
              <w:t xml:space="preserve"> but </w:t>
            </w:r>
            <w:r w:rsidR="0040339F" w:rsidRPr="00BC5F4E">
              <w:rPr>
                <w:b/>
                <w:sz w:val="20"/>
                <w:szCs w:val="20"/>
              </w:rPr>
              <w:t>SL-LPA</w:t>
            </w:r>
            <w:r w:rsidR="0040339F" w:rsidRPr="00BC5F4E">
              <w:rPr>
                <w:sz w:val="20"/>
                <w:szCs w:val="20"/>
              </w:rPr>
              <w:t xml:space="preserve"> is a bottleneck</w:t>
            </w:r>
            <w:r w:rsidR="0002428D" w:rsidRPr="00BC5F4E">
              <w:rPr>
                <w:sz w:val="20"/>
                <w:szCs w:val="20"/>
              </w:rPr>
              <w:t>.</w:t>
            </w:r>
            <w:r w:rsidR="0040339F" w:rsidRPr="00BC5F4E">
              <w:rPr>
                <w:sz w:val="20"/>
                <w:szCs w:val="20"/>
              </w:rPr>
              <w:t xml:space="preserve"> </w:t>
            </w:r>
            <w:r w:rsidR="0002428D" w:rsidRPr="00BC5F4E">
              <w:rPr>
                <w:sz w:val="20"/>
                <w:szCs w:val="20"/>
                <w:lang w:val="en-IN"/>
              </w:rPr>
              <w:t xml:space="preserve">Currently, </w:t>
            </w:r>
            <w:r w:rsidR="0002428D" w:rsidRPr="00BC5F4E">
              <w:rPr>
                <w:b/>
                <w:sz w:val="20"/>
                <w:szCs w:val="20"/>
                <w:lang w:val="en-IN"/>
              </w:rPr>
              <w:t>SL-LPA</w:t>
            </w:r>
            <w:r w:rsidR="0002428D" w:rsidRPr="00BC5F4E">
              <w:rPr>
                <w:sz w:val="20"/>
                <w:szCs w:val="20"/>
                <w:lang w:val="en-IN"/>
              </w:rPr>
              <w:t xml:space="preserve"> is being validated in 5 sites, following which it will be rolled out in all 52 LPA labs.</w:t>
            </w:r>
          </w:p>
          <w:p w:rsidR="0002428D" w:rsidRPr="00BC5F4E" w:rsidRDefault="0002428D" w:rsidP="003306B3">
            <w:pPr>
              <w:rPr>
                <w:sz w:val="20"/>
                <w:szCs w:val="20"/>
              </w:rPr>
            </w:pPr>
          </w:p>
          <w:p w:rsidR="0040339F" w:rsidRPr="00BC5F4E" w:rsidRDefault="0002428D" w:rsidP="003306B3">
            <w:pPr>
              <w:rPr>
                <w:sz w:val="20"/>
                <w:szCs w:val="20"/>
                <w:lang w:val="en-IN"/>
              </w:rPr>
            </w:pPr>
            <w:r w:rsidRPr="00BC5F4E">
              <w:rPr>
                <w:sz w:val="20"/>
                <w:szCs w:val="20"/>
                <w:lang w:val="en-IN"/>
              </w:rPr>
              <w:t xml:space="preserve">Diagnostic algorithm for </w:t>
            </w:r>
            <w:proofErr w:type="spellStart"/>
            <w:r w:rsidRPr="00BC5F4E">
              <w:rPr>
                <w:sz w:val="20"/>
                <w:szCs w:val="20"/>
                <w:lang w:val="en-IN"/>
              </w:rPr>
              <w:t>Bdq</w:t>
            </w:r>
            <w:proofErr w:type="spellEnd"/>
            <w:r w:rsidRPr="00BC5F4E">
              <w:rPr>
                <w:sz w:val="20"/>
                <w:szCs w:val="20"/>
                <w:lang w:val="en-IN"/>
              </w:rPr>
              <w:t>: FL/SL DST is to be done in a single step on liquid culture.</w:t>
            </w:r>
            <w:r w:rsidR="00BC5F4E" w:rsidRPr="00BC5F4E">
              <w:rPr>
                <w:sz w:val="20"/>
                <w:szCs w:val="20"/>
                <w:lang w:val="en-IN"/>
              </w:rPr>
              <w:t xml:space="preserve"> At the labs linked to BDQ sites, DST would be offered for </w:t>
            </w:r>
            <w:r w:rsidR="00BC5F4E">
              <w:rPr>
                <w:sz w:val="20"/>
                <w:szCs w:val="20"/>
                <w:lang w:val="en-IN"/>
              </w:rPr>
              <w:t xml:space="preserve">7 </w:t>
            </w:r>
            <w:r w:rsidR="00BC5F4E" w:rsidRPr="00BC5F4E">
              <w:rPr>
                <w:sz w:val="20"/>
                <w:szCs w:val="20"/>
                <w:lang w:val="en-IN"/>
              </w:rPr>
              <w:t>drugs</w:t>
            </w:r>
            <w:r w:rsidR="00BC5F4E">
              <w:rPr>
                <w:sz w:val="20"/>
                <w:szCs w:val="20"/>
                <w:lang w:val="en-IN"/>
              </w:rPr>
              <w:t xml:space="preserve">. </w:t>
            </w:r>
          </w:p>
        </w:tc>
      </w:tr>
      <w:tr w:rsidR="0031191A" w:rsidTr="000563F4">
        <w:trPr>
          <w:trHeight w:val="440"/>
        </w:trPr>
        <w:tc>
          <w:tcPr>
            <w:tcW w:w="1435" w:type="dxa"/>
          </w:tcPr>
          <w:p w:rsidR="00AA61E0" w:rsidRPr="000563F4" w:rsidRDefault="00AA61E0" w:rsidP="00AA61E0">
            <w:pPr>
              <w:rPr>
                <w:b/>
                <w:sz w:val="20"/>
                <w:szCs w:val="20"/>
              </w:rPr>
            </w:pPr>
            <w:r w:rsidRPr="000563F4">
              <w:rPr>
                <w:b/>
                <w:sz w:val="20"/>
                <w:szCs w:val="20"/>
              </w:rPr>
              <w:t>Indonesia</w:t>
            </w:r>
          </w:p>
        </w:tc>
        <w:tc>
          <w:tcPr>
            <w:tcW w:w="4770" w:type="dxa"/>
          </w:tcPr>
          <w:p w:rsidR="003306B3" w:rsidRPr="000563F4" w:rsidRDefault="003306B3" w:rsidP="003306B3">
            <w:pPr>
              <w:rPr>
                <w:sz w:val="20"/>
                <w:szCs w:val="20"/>
              </w:rPr>
            </w:pPr>
            <w:r w:rsidRPr="000563F4">
              <w:rPr>
                <w:b/>
                <w:sz w:val="20"/>
                <w:szCs w:val="20"/>
              </w:rPr>
              <w:t>STR</w:t>
            </w:r>
            <w:r w:rsidRPr="000563F4">
              <w:rPr>
                <w:sz w:val="20"/>
                <w:szCs w:val="20"/>
              </w:rPr>
              <w:t xml:space="preserve">: The government has agreed to introduce the </w:t>
            </w:r>
            <w:r w:rsidR="00C07428" w:rsidRPr="000563F4">
              <w:rPr>
                <w:sz w:val="20"/>
                <w:szCs w:val="20"/>
              </w:rPr>
              <w:t>STR</w:t>
            </w:r>
            <w:r w:rsidRPr="000563F4">
              <w:rPr>
                <w:sz w:val="20"/>
                <w:szCs w:val="20"/>
              </w:rPr>
              <w:t xml:space="preserve"> </w:t>
            </w:r>
            <w:r w:rsidR="00C07428" w:rsidRPr="000563F4">
              <w:rPr>
                <w:sz w:val="20"/>
                <w:szCs w:val="20"/>
              </w:rPr>
              <w:t xml:space="preserve">with </w:t>
            </w:r>
            <w:r w:rsidRPr="000563F4">
              <w:rPr>
                <w:sz w:val="20"/>
                <w:szCs w:val="20"/>
              </w:rPr>
              <w:t xml:space="preserve">plan to start July 2017. Challenge is </w:t>
            </w:r>
            <w:r w:rsidR="00C07428" w:rsidRPr="000563F4">
              <w:rPr>
                <w:sz w:val="20"/>
                <w:szCs w:val="20"/>
              </w:rPr>
              <w:t>that</w:t>
            </w:r>
            <w:r w:rsidRPr="000563F4">
              <w:rPr>
                <w:sz w:val="20"/>
                <w:szCs w:val="20"/>
              </w:rPr>
              <w:t xml:space="preserve"> </w:t>
            </w:r>
            <w:r w:rsidR="00C07428" w:rsidRPr="000563F4">
              <w:rPr>
                <w:sz w:val="20"/>
                <w:szCs w:val="20"/>
              </w:rPr>
              <w:t xml:space="preserve">SLDs for 24-month regimen are on the </w:t>
            </w:r>
            <w:r w:rsidRPr="000563F4">
              <w:rPr>
                <w:sz w:val="20"/>
                <w:szCs w:val="20"/>
              </w:rPr>
              <w:t>procurement process, and NTP need</w:t>
            </w:r>
            <w:r w:rsidR="00C07428" w:rsidRPr="000563F4">
              <w:rPr>
                <w:sz w:val="20"/>
                <w:szCs w:val="20"/>
              </w:rPr>
              <w:t>s</w:t>
            </w:r>
            <w:r w:rsidRPr="000563F4">
              <w:rPr>
                <w:sz w:val="20"/>
                <w:szCs w:val="20"/>
              </w:rPr>
              <w:t xml:space="preserve"> to </w:t>
            </w:r>
            <w:r w:rsidR="00C07428" w:rsidRPr="000563F4">
              <w:rPr>
                <w:sz w:val="20"/>
                <w:szCs w:val="20"/>
              </w:rPr>
              <w:t>find the</w:t>
            </w:r>
            <w:r w:rsidRPr="000563F4">
              <w:rPr>
                <w:sz w:val="20"/>
                <w:szCs w:val="20"/>
              </w:rPr>
              <w:t xml:space="preserve"> possible best scenario for transition</w:t>
            </w:r>
            <w:r w:rsidR="00C07428" w:rsidRPr="000563F4">
              <w:rPr>
                <w:sz w:val="20"/>
                <w:szCs w:val="20"/>
              </w:rPr>
              <w:t>, considering STR</w:t>
            </w:r>
            <w:r w:rsidRPr="000563F4">
              <w:rPr>
                <w:sz w:val="20"/>
                <w:szCs w:val="20"/>
              </w:rPr>
              <w:t xml:space="preserve"> </w:t>
            </w:r>
            <w:r w:rsidR="00C07428" w:rsidRPr="000563F4">
              <w:rPr>
                <w:sz w:val="20"/>
                <w:szCs w:val="20"/>
              </w:rPr>
              <w:t>will</w:t>
            </w:r>
            <w:r w:rsidRPr="000563F4">
              <w:rPr>
                <w:sz w:val="20"/>
                <w:szCs w:val="20"/>
              </w:rPr>
              <w:t xml:space="preserve"> minimize the </w:t>
            </w:r>
            <w:r w:rsidR="00C07428" w:rsidRPr="000563F4">
              <w:rPr>
                <w:sz w:val="20"/>
                <w:szCs w:val="20"/>
              </w:rPr>
              <w:t>lost-to-follow-up cases.</w:t>
            </w:r>
            <w:r w:rsidRPr="000563F4">
              <w:rPr>
                <w:sz w:val="20"/>
                <w:szCs w:val="20"/>
              </w:rPr>
              <w:t xml:space="preserve"> </w:t>
            </w:r>
          </w:p>
          <w:p w:rsidR="003306B3" w:rsidRPr="000563F4" w:rsidRDefault="003306B3" w:rsidP="003306B3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Target for S</w:t>
            </w:r>
            <w:r w:rsidR="00C07428" w:rsidRPr="000563F4">
              <w:rPr>
                <w:sz w:val="20"/>
                <w:szCs w:val="20"/>
              </w:rPr>
              <w:t>T</w:t>
            </w:r>
            <w:r w:rsidRPr="000563F4">
              <w:rPr>
                <w:sz w:val="20"/>
                <w:szCs w:val="20"/>
              </w:rPr>
              <w:t>R is not set yet </w:t>
            </w:r>
          </w:p>
          <w:p w:rsidR="003306B3" w:rsidRPr="000563F4" w:rsidRDefault="003306B3" w:rsidP="003306B3">
            <w:pPr>
              <w:rPr>
                <w:sz w:val="20"/>
                <w:szCs w:val="20"/>
              </w:rPr>
            </w:pPr>
          </w:p>
          <w:p w:rsidR="00AA61E0" w:rsidRPr="000563F4" w:rsidRDefault="00AA61E0" w:rsidP="00AA61E0">
            <w:pPr>
              <w:rPr>
                <w:sz w:val="20"/>
                <w:szCs w:val="20"/>
              </w:rPr>
            </w:pPr>
            <w:proofErr w:type="spellStart"/>
            <w:r w:rsidRPr="000563F4">
              <w:rPr>
                <w:b/>
                <w:sz w:val="20"/>
                <w:szCs w:val="20"/>
              </w:rPr>
              <w:lastRenderedPageBreak/>
              <w:t>Bdq</w:t>
            </w:r>
            <w:proofErr w:type="spellEnd"/>
            <w:r w:rsidRPr="000563F4">
              <w:rPr>
                <w:sz w:val="20"/>
                <w:szCs w:val="20"/>
              </w:rPr>
              <w:t xml:space="preserve"> started last year (2015</w:t>
            </w:r>
            <w:r w:rsidR="00C07428" w:rsidRPr="000563F4">
              <w:rPr>
                <w:sz w:val="20"/>
                <w:szCs w:val="20"/>
              </w:rPr>
              <w:t xml:space="preserve">l, with </w:t>
            </w:r>
            <w:r w:rsidRPr="000563F4">
              <w:rPr>
                <w:sz w:val="20"/>
                <w:szCs w:val="20"/>
              </w:rPr>
              <w:t>44 enrolled as of Oct 2016</w:t>
            </w:r>
            <w:r w:rsidR="00C07428" w:rsidRPr="000563F4">
              <w:rPr>
                <w:sz w:val="20"/>
                <w:szCs w:val="20"/>
              </w:rPr>
              <w:t>. I</w:t>
            </w:r>
            <w:r w:rsidRPr="000563F4">
              <w:rPr>
                <w:sz w:val="20"/>
                <w:szCs w:val="20"/>
              </w:rPr>
              <w:t xml:space="preserve">mplemented in 3 hospitals (plan </w:t>
            </w:r>
            <w:r w:rsidR="005E5756" w:rsidRPr="000563F4">
              <w:rPr>
                <w:sz w:val="20"/>
                <w:szCs w:val="20"/>
              </w:rPr>
              <w:t xml:space="preserve">for </w:t>
            </w:r>
            <w:r w:rsidR="00C07428" w:rsidRPr="000563F4">
              <w:rPr>
                <w:sz w:val="20"/>
                <w:szCs w:val="20"/>
              </w:rPr>
              <w:t xml:space="preserve">1 </w:t>
            </w:r>
            <w:r w:rsidRPr="000563F4">
              <w:rPr>
                <w:sz w:val="20"/>
                <w:szCs w:val="20"/>
              </w:rPr>
              <w:t>additional site this year) and 1 control site for CEM (</w:t>
            </w:r>
            <w:r w:rsidR="00C07428" w:rsidRPr="000563F4">
              <w:rPr>
                <w:sz w:val="20"/>
                <w:szCs w:val="20"/>
              </w:rPr>
              <w:t>also for</w:t>
            </w:r>
            <w:r w:rsidRPr="000563F4">
              <w:rPr>
                <w:sz w:val="20"/>
                <w:szCs w:val="20"/>
              </w:rPr>
              <w:t xml:space="preserve"> </w:t>
            </w:r>
            <w:proofErr w:type="spellStart"/>
            <w:r w:rsidRPr="000563F4">
              <w:rPr>
                <w:sz w:val="20"/>
                <w:szCs w:val="20"/>
              </w:rPr>
              <w:t>std</w:t>
            </w:r>
            <w:proofErr w:type="spellEnd"/>
            <w:r w:rsidRPr="000563F4">
              <w:rPr>
                <w:sz w:val="20"/>
                <w:szCs w:val="20"/>
              </w:rPr>
              <w:t xml:space="preserve"> MDR/</w:t>
            </w:r>
            <w:r w:rsidR="00C07428" w:rsidRPr="000563F4">
              <w:rPr>
                <w:sz w:val="20"/>
                <w:szCs w:val="20"/>
              </w:rPr>
              <w:t>Pre-</w:t>
            </w:r>
            <w:r w:rsidRPr="000563F4">
              <w:rPr>
                <w:sz w:val="20"/>
                <w:szCs w:val="20"/>
              </w:rPr>
              <w:t>/XDR treatment</w:t>
            </w:r>
            <w:r w:rsidR="00C07428" w:rsidRPr="000563F4">
              <w:rPr>
                <w:sz w:val="20"/>
                <w:szCs w:val="20"/>
              </w:rPr>
              <w:t xml:space="preserve">, not just </w:t>
            </w:r>
            <w:proofErr w:type="spellStart"/>
            <w:r w:rsidR="00C07428" w:rsidRPr="000563F4">
              <w:rPr>
                <w:sz w:val="20"/>
                <w:szCs w:val="20"/>
              </w:rPr>
              <w:t>Bdq</w:t>
            </w:r>
            <w:proofErr w:type="spellEnd"/>
            <w:r w:rsidR="00C07428" w:rsidRPr="000563F4">
              <w:rPr>
                <w:sz w:val="20"/>
                <w:szCs w:val="20"/>
              </w:rPr>
              <w:t xml:space="preserve">)  </w:t>
            </w:r>
            <w:r w:rsidRPr="000563F4">
              <w:rPr>
                <w:sz w:val="20"/>
                <w:szCs w:val="20"/>
              </w:rPr>
              <w:t xml:space="preserve"> </w:t>
            </w:r>
          </w:p>
          <w:p w:rsidR="00AA61E0" w:rsidRPr="000563F4" w:rsidRDefault="00AA61E0" w:rsidP="00AA61E0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 xml:space="preserve">First 100 patients are monitored via CEM; thereafter, it will be </w:t>
            </w:r>
            <w:proofErr w:type="spellStart"/>
            <w:r w:rsidRPr="000563F4">
              <w:rPr>
                <w:sz w:val="20"/>
                <w:szCs w:val="20"/>
              </w:rPr>
              <w:t>aDSM</w:t>
            </w:r>
            <w:proofErr w:type="spellEnd"/>
            <w:r w:rsidRPr="000563F4">
              <w:rPr>
                <w:sz w:val="20"/>
                <w:szCs w:val="20"/>
              </w:rPr>
              <w:t xml:space="preserve"> (core </w:t>
            </w:r>
          </w:p>
          <w:p w:rsidR="00AA61E0" w:rsidRPr="000563F4" w:rsidRDefault="00AA61E0" w:rsidP="00AA61E0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 xml:space="preserve">package). </w:t>
            </w:r>
          </w:p>
          <w:p w:rsidR="00AA61E0" w:rsidRPr="000563F4" w:rsidRDefault="00AA61E0" w:rsidP="00AA61E0">
            <w:pPr>
              <w:rPr>
                <w:sz w:val="20"/>
                <w:szCs w:val="20"/>
              </w:rPr>
            </w:pPr>
          </w:p>
          <w:p w:rsidR="00AA61E0" w:rsidRPr="000563F4" w:rsidRDefault="00AA61E0" w:rsidP="00AA61E0">
            <w:pPr>
              <w:rPr>
                <w:sz w:val="20"/>
                <w:szCs w:val="20"/>
              </w:rPr>
            </w:pPr>
          </w:p>
          <w:p w:rsidR="00AA61E0" w:rsidRPr="000563F4" w:rsidRDefault="00AA61E0" w:rsidP="00AA61E0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292F29" w:rsidRPr="000563F4" w:rsidRDefault="00AA61E0" w:rsidP="00AA61E0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lastRenderedPageBreak/>
              <w:t xml:space="preserve">4 labs </w:t>
            </w:r>
            <w:r w:rsidR="00C07428" w:rsidRPr="000563F4">
              <w:rPr>
                <w:sz w:val="20"/>
                <w:szCs w:val="20"/>
              </w:rPr>
              <w:t>with</w:t>
            </w:r>
            <w:r w:rsidRPr="000563F4">
              <w:rPr>
                <w:sz w:val="20"/>
                <w:szCs w:val="20"/>
              </w:rPr>
              <w:t xml:space="preserve"> capacity</w:t>
            </w:r>
            <w:r w:rsidR="00C07428" w:rsidRPr="000563F4">
              <w:rPr>
                <w:sz w:val="20"/>
                <w:szCs w:val="20"/>
              </w:rPr>
              <w:t xml:space="preserve"> to do </w:t>
            </w:r>
            <w:r w:rsidR="00C07428" w:rsidRPr="000563F4">
              <w:rPr>
                <w:b/>
                <w:sz w:val="20"/>
                <w:szCs w:val="20"/>
              </w:rPr>
              <w:t>FL-LPA</w:t>
            </w:r>
            <w:r w:rsidRPr="000563F4">
              <w:rPr>
                <w:sz w:val="20"/>
                <w:szCs w:val="20"/>
              </w:rPr>
              <w:t>. Assessment already conducted</w:t>
            </w:r>
            <w:r w:rsidR="00292F29" w:rsidRPr="000563F4">
              <w:rPr>
                <w:sz w:val="20"/>
                <w:szCs w:val="20"/>
              </w:rPr>
              <w:t xml:space="preserve">; </w:t>
            </w:r>
            <w:r w:rsidRPr="000563F4">
              <w:rPr>
                <w:sz w:val="20"/>
                <w:szCs w:val="20"/>
              </w:rPr>
              <w:t xml:space="preserve">2 labs (BBLK Surabaya and </w:t>
            </w:r>
            <w:proofErr w:type="spellStart"/>
            <w:r w:rsidRPr="000563F4">
              <w:rPr>
                <w:sz w:val="20"/>
                <w:szCs w:val="20"/>
              </w:rPr>
              <w:t>Persahabatan</w:t>
            </w:r>
            <w:proofErr w:type="spellEnd"/>
            <w:r w:rsidRPr="000563F4">
              <w:rPr>
                <w:sz w:val="20"/>
                <w:szCs w:val="20"/>
              </w:rPr>
              <w:t xml:space="preserve"> Hospital) are ready </w:t>
            </w:r>
            <w:r w:rsidR="00C07428" w:rsidRPr="000563F4">
              <w:rPr>
                <w:sz w:val="20"/>
                <w:szCs w:val="20"/>
              </w:rPr>
              <w:t>to</w:t>
            </w:r>
            <w:r w:rsidRPr="000563F4">
              <w:rPr>
                <w:sz w:val="20"/>
                <w:szCs w:val="20"/>
              </w:rPr>
              <w:t xml:space="preserve"> start </w:t>
            </w:r>
            <w:r w:rsidRPr="000563F4">
              <w:rPr>
                <w:b/>
                <w:sz w:val="20"/>
                <w:szCs w:val="20"/>
              </w:rPr>
              <w:t>SL-LPA</w:t>
            </w:r>
            <w:r w:rsidR="00292F29" w:rsidRPr="000563F4">
              <w:rPr>
                <w:b/>
                <w:sz w:val="20"/>
                <w:szCs w:val="20"/>
              </w:rPr>
              <w:t xml:space="preserve">, </w:t>
            </w:r>
            <w:r w:rsidR="00292F29" w:rsidRPr="000563F4">
              <w:rPr>
                <w:sz w:val="20"/>
                <w:szCs w:val="20"/>
              </w:rPr>
              <w:t>a</w:t>
            </w:r>
            <w:r w:rsidRPr="000563F4">
              <w:rPr>
                <w:sz w:val="20"/>
                <w:szCs w:val="20"/>
              </w:rPr>
              <w:t xml:space="preserve">waiting SL-LPA kits assisted by KNCV </w:t>
            </w:r>
            <w:r w:rsidR="00292F29" w:rsidRPr="000563F4">
              <w:rPr>
                <w:sz w:val="20"/>
                <w:szCs w:val="20"/>
              </w:rPr>
              <w:t xml:space="preserve">under </w:t>
            </w:r>
            <w:r w:rsidRPr="000563F4">
              <w:rPr>
                <w:sz w:val="20"/>
                <w:szCs w:val="20"/>
              </w:rPr>
              <w:t xml:space="preserve">APA 3). </w:t>
            </w:r>
          </w:p>
          <w:p w:rsidR="00AA61E0" w:rsidRPr="000563F4" w:rsidRDefault="00292F29" w:rsidP="00AA61E0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T</w:t>
            </w:r>
            <w:r w:rsidR="00AA61E0" w:rsidRPr="000563F4">
              <w:rPr>
                <w:sz w:val="20"/>
                <w:szCs w:val="20"/>
              </w:rPr>
              <w:t>wo options</w:t>
            </w:r>
            <w:r w:rsidRPr="000563F4">
              <w:rPr>
                <w:sz w:val="20"/>
                <w:szCs w:val="20"/>
              </w:rPr>
              <w:t xml:space="preserve"> for the future</w:t>
            </w:r>
            <w:r w:rsidR="00AA61E0" w:rsidRPr="000563F4">
              <w:rPr>
                <w:sz w:val="20"/>
                <w:szCs w:val="20"/>
              </w:rPr>
              <w:t>:</w:t>
            </w:r>
          </w:p>
          <w:p w:rsidR="00AA61E0" w:rsidRPr="000563F4" w:rsidRDefault="00AA61E0" w:rsidP="00292F29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lastRenderedPageBreak/>
              <w:t xml:space="preserve">Utilize </w:t>
            </w:r>
            <w:r w:rsidR="00292F29" w:rsidRPr="000563F4">
              <w:rPr>
                <w:sz w:val="20"/>
                <w:szCs w:val="20"/>
              </w:rPr>
              <w:t>the 2</w:t>
            </w:r>
            <w:r w:rsidRPr="000563F4">
              <w:rPr>
                <w:sz w:val="20"/>
                <w:szCs w:val="20"/>
              </w:rPr>
              <w:t xml:space="preserve"> </w:t>
            </w:r>
            <w:r w:rsidR="00292F29" w:rsidRPr="000563F4">
              <w:rPr>
                <w:sz w:val="20"/>
                <w:szCs w:val="20"/>
              </w:rPr>
              <w:t>ready labs</w:t>
            </w:r>
            <w:r w:rsidRPr="000563F4">
              <w:rPr>
                <w:sz w:val="20"/>
                <w:szCs w:val="20"/>
              </w:rPr>
              <w:t xml:space="preserve"> as </w:t>
            </w:r>
            <w:r w:rsidR="00292F29" w:rsidRPr="000563F4">
              <w:rPr>
                <w:sz w:val="20"/>
                <w:szCs w:val="20"/>
              </w:rPr>
              <w:t xml:space="preserve">both are </w:t>
            </w:r>
            <w:r w:rsidRPr="000563F4">
              <w:rPr>
                <w:sz w:val="20"/>
                <w:szCs w:val="20"/>
              </w:rPr>
              <w:t xml:space="preserve">still able to cover the need. </w:t>
            </w:r>
            <w:r w:rsidR="00292F29" w:rsidRPr="000563F4">
              <w:rPr>
                <w:sz w:val="20"/>
                <w:szCs w:val="20"/>
              </w:rPr>
              <w:t xml:space="preserve">This </w:t>
            </w:r>
            <w:r w:rsidRPr="000563F4">
              <w:rPr>
                <w:sz w:val="20"/>
                <w:szCs w:val="20"/>
              </w:rPr>
              <w:t>need</w:t>
            </w:r>
            <w:r w:rsidR="00292F29" w:rsidRPr="000563F4">
              <w:rPr>
                <w:sz w:val="20"/>
                <w:szCs w:val="20"/>
              </w:rPr>
              <w:t>s</w:t>
            </w:r>
            <w:r w:rsidRPr="000563F4">
              <w:rPr>
                <w:sz w:val="20"/>
                <w:szCs w:val="20"/>
              </w:rPr>
              <w:t xml:space="preserve"> support</w:t>
            </w:r>
            <w:r w:rsidR="00292F29" w:rsidRPr="000563F4">
              <w:rPr>
                <w:sz w:val="20"/>
                <w:szCs w:val="20"/>
              </w:rPr>
              <w:t xml:space="preserve"> on </w:t>
            </w:r>
            <w:r w:rsidRPr="000563F4">
              <w:rPr>
                <w:sz w:val="20"/>
                <w:szCs w:val="20"/>
              </w:rPr>
              <w:t xml:space="preserve">specimen transport system. </w:t>
            </w:r>
          </w:p>
          <w:p w:rsidR="00AA61E0" w:rsidRPr="000563F4" w:rsidRDefault="00292F29" w:rsidP="00292F29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Expand SL-LPA to other 3-4</w:t>
            </w:r>
            <w:r w:rsidR="00AA61E0" w:rsidRPr="000563F4">
              <w:rPr>
                <w:sz w:val="20"/>
                <w:szCs w:val="20"/>
              </w:rPr>
              <w:t> potential labs (existing biomolecular labs)</w:t>
            </w:r>
            <w:r w:rsidR="000B24BA" w:rsidRPr="000563F4">
              <w:rPr>
                <w:sz w:val="20"/>
                <w:szCs w:val="20"/>
              </w:rPr>
              <w:t xml:space="preserve">; </w:t>
            </w:r>
            <w:r w:rsidRPr="000563F4">
              <w:rPr>
                <w:sz w:val="20"/>
                <w:szCs w:val="20"/>
              </w:rPr>
              <w:t xml:space="preserve">needs </w:t>
            </w:r>
            <w:r w:rsidR="00AA61E0" w:rsidRPr="000563F4">
              <w:rPr>
                <w:sz w:val="20"/>
                <w:szCs w:val="20"/>
              </w:rPr>
              <w:t xml:space="preserve">procurement </w:t>
            </w:r>
            <w:r w:rsidRPr="000563F4">
              <w:rPr>
                <w:sz w:val="20"/>
                <w:szCs w:val="20"/>
              </w:rPr>
              <w:t xml:space="preserve">of LPA  </w:t>
            </w:r>
            <w:r w:rsidR="00AA61E0" w:rsidRPr="000563F4">
              <w:rPr>
                <w:sz w:val="20"/>
                <w:szCs w:val="20"/>
              </w:rPr>
              <w:t>equipment</w:t>
            </w:r>
            <w:r w:rsidR="000B24BA" w:rsidRPr="000563F4">
              <w:rPr>
                <w:sz w:val="20"/>
                <w:szCs w:val="20"/>
              </w:rPr>
              <w:t>, but currently no funding</w:t>
            </w:r>
          </w:p>
        </w:tc>
      </w:tr>
      <w:tr w:rsidR="0002428D" w:rsidTr="000563F4">
        <w:trPr>
          <w:trHeight w:val="179"/>
        </w:trPr>
        <w:tc>
          <w:tcPr>
            <w:tcW w:w="1435" w:type="dxa"/>
          </w:tcPr>
          <w:p w:rsidR="00F70662" w:rsidRPr="000563F4" w:rsidRDefault="00C300A9">
            <w:pPr>
              <w:rPr>
                <w:sz w:val="20"/>
                <w:szCs w:val="20"/>
              </w:rPr>
            </w:pPr>
            <w:proofErr w:type="spellStart"/>
            <w:r w:rsidRPr="000563F4">
              <w:rPr>
                <w:b/>
                <w:sz w:val="20"/>
                <w:szCs w:val="20"/>
              </w:rPr>
              <w:lastRenderedPageBreak/>
              <w:t>Kyrgystan</w:t>
            </w:r>
            <w:proofErr w:type="spellEnd"/>
            <w:r w:rsidR="00F70662" w:rsidRPr="000563F4">
              <w:rPr>
                <w:sz w:val="20"/>
                <w:szCs w:val="20"/>
              </w:rPr>
              <w:t xml:space="preserve"> </w:t>
            </w:r>
          </w:p>
          <w:p w:rsidR="00F70662" w:rsidRPr="000563F4" w:rsidRDefault="00F70662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3C7ACB" w:rsidRPr="000563F4" w:rsidRDefault="003C7ACB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 xml:space="preserve">Drugs for both </w:t>
            </w:r>
            <w:r w:rsidRPr="000563F4">
              <w:rPr>
                <w:b/>
                <w:sz w:val="20"/>
                <w:szCs w:val="20"/>
              </w:rPr>
              <w:t>STR</w:t>
            </w:r>
            <w:r w:rsidRPr="000563F4">
              <w:rPr>
                <w:sz w:val="20"/>
                <w:szCs w:val="20"/>
              </w:rPr>
              <w:t xml:space="preserve"> and </w:t>
            </w:r>
            <w:proofErr w:type="spellStart"/>
            <w:r w:rsidRPr="000563F4">
              <w:rPr>
                <w:b/>
                <w:sz w:val="20"/>
                <w:szCs w:val="20"/>
              </w:rPr>
              <w:t>Bdq</w:t>
            </w:r>
            <w:proofErr w:type="spellEnd"/>
            <w:r w:rsidRPr="000563F4">
              <w:rPr>
                <w:sz w:val="20"/>
                <w:szCs w:val="20"/>
              </w:rPr>
              <w:t xml:space="preserve"> have been ordered through UNDP- GF. While MSF provides project TA in only 1 region, KNCV is assisting a more programmatic approach starting with the National Center and 1 TB Center. Targets: 100 </w:t>
            </w:r>
            <w:r w:rsidRPr="000563F4">
              <w:rPr>
                <w:b/>
                <w:sz w:val="20"/>
                <w:szCs w:val="20"/>
              </w:rPr>
              <w:t>(S</w:t>
            </w:r>
            <w:r w:rsidR="00292F29" w:rsidRPr="000563F4">
              <w:rPr>
                <w:b/>
                <w:sz w:val="20"/>
                <w:szCs w:val="20"/>
              </w:rPr>
              <w:t>T</w:t>
            </w:r>
            <w:r w:rsidRPr="000563F4">
              <w:rPr>
                <w:b/>
                <w:sz w:val="20"/>
                <w:szCs w:val="20"/>
              </w:rPr>
              <w:t>R)</w:t>
            </w:r>
            <w:r w:rsidRPr="000563F4">
              <w:rPr>
                <w:sz w:val="20"/>
                <w:szCs w:val="20"/>
              </w:rPr>
              <w:t xml:space="preserve"> and 200 in the next year</w:t>
            </w:r>
            <w:r w:rsidR="00292F29" w:rsidRPr="000563F4">
              <w:rPr>
                <w:sz w:val="20"/>
                <w:szCs w:val="20"/>
              </w:rPr>
              <w:t>;  and 100 in 2 years (</w:t>
            </w:r>
            <w:proofErr w:type="spellStart"/>
            <w:r w:rsidRPr="000563F4">
              <w:rPr>
                <w:b/>
                <w:sz w:val="20"/>
                <w:szCs w:val="20"/>
              </w:rPr>
              <w:t>B</w:t>
            </w:r>
            <w:r w:rsidR="00292F29" w:rsidRPr="000563F4">
              <w:rPr>
                <w:b/>
                <w:sz w:val="20"/>
                <w:szCs w:val="20"/>
              </w:rPr>
              <w:t>d</w:t>
            </w:r>
            <w:r w:rsidRPr="000563F4">
              <w:rPr>
                <w:b/>
                <w:sz w:val="20"/>
                <w:szCs w:val="20"/>
              </w:rPr>
              <w:t>q</w:t>
            </w:r>
            <w:proofErr w:type="spellEnd"/>
            <w:r w:rsidR="00292F29" w:rsidRPr="000563F4">
              <w:rPr>
                <w:b/>
                <w:sz w:val="20"/>
                <w:szCs w:val="20"/>
              </w:rPr>
              <w:t>)</w:t>
            </w:r>
            <w:r w:rsidRPr="000563F4">
              <w:rPr>
                <w:sz w:val="20"/>
                <w:szCs w:val="20"/>
              </w:rPr>
              <w:t xml:space="preserve">. </w:t>
            </w:r>
            <w:proofErr w:type="spellStart"/>
            <w:r w:rsidRPr="000563F4">
              <w:rPr>
                <w:b/>
                <w:sz w:val="20"/>
                <w:szCs w:val="20"/>
              </w:rPr>
              <w:t>Dlm</w:t>
            </w:r>
            <w:proofErr w:type="spellEnd"/>
            <w:r w:rsidRPr="000563F4">
              <w:rPr>
                <w:sz w:val="20"/>
                <w:szCs w:val="20"/>
              </w:rPr>
              <w:t xml:space="preserve"> </w:t>
            </w:r>
            <w:r w:rsidR="00C300A9" w:rsidRPr="000563F4">
              <w:rPr>
                <w:sz w:val="20"/>
                <w:szCs w:val="20"/>
              </w:rPr>
              <w:t>is planned to be requested</w:t>
            </w:r>
            <w:r w:rsidRPr="000563F4">
              <w:rPr>
                <w:sz w:val="20"/>
                <w:szCs w:val="20"/>
              </w:rPr>
              <w:t xml:space="preserve"> in the 1</w:t>
            </w:r>
            <w:r w:rsidRPr="000563F4">
              <w:rPr>
                <w:sz w:val="20"/>
                <w:szCs w:val="20"/>
                <w:vertAlign w:val="superscript"/>
              </w:rPr>
              <w:t>st</w:t>
            </w:r>
            <w:r w:rsidRPr="000563F4">
              <w:rPr>
                <w:sz w:val="20"/>
                <w:szCs w:val="20"/>
              </w:rPr>
              <w:t xml:space="preserve"> quarter of 2017. </w:t>
            </w:r>
          </w:p>
        </w:tc>
        <w:tc>
          <w:tcPr>
            <w:tcW w:w="3145" w:type="dxa"/>
          </w:tcPr>
          <w:p w:rsidR="00A944E1" w:rsidRPr="000563F4" w:rsidRDefault="003C7ACB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 xml:space="preserve">The NTRL will perform </w:t>
            </w:r>
            <w:r w:rsidR="00292F29" w:rsidRPr="000563F4">
              <w:rPr>
                <w:b/>
                <w:sz w:val="20"/>
                <w:szCs w:val="20"/>
              </w:rPr>
              <w:t>SL-LPA</w:t>
            </w:r>
            <w:r w:rsidR="00292F29" w:rsidRPr="000563F4">
              <w:rPr>
                <w:sz w:val="20"/>
                <w:szCs w:val="20"/>
              </w:rPr>
              <w:t xml:space="preserve"> </w:t>
            </w:r>
            <w:r w:rsidRPr="000563F4">
              <w:rPr>
                <w:sz w:val="20"/>
                <w:szCs w:val="20"/>
              </w:rPr>
              <w:t xml:space="preserve"> in a programmatic approach. </w:t>
            </w:r>
          </w:p>
        </w:tc>
      </w:tr>
      <w:tr w:rsidR="0002428D" w:rsidTr="000563F4">
        <w:tc>
          <w:tcPr>
            <w:tcW w:w="1435" w:type="dxa"/>
          </w:tcPr>
          <w:p w:rsidR="00F70662" w:rsidRPr="000563F4" w:rsidRDefault="00F70662" w:rsidP="00F70662">
            <w:pPr>
              <w:rPr>
                <w:b/>
                <w:sz w:val="20"/>
                <w:szCs w:val="20"/>
              </w:rPr>
            </w:pPr>
            <w:r w:rsidRPr="000563F4">
              <w:rPr>
                <w:b/>
                <w:sz w:val="20"/>
                <w:szCs w:val="20"/>
              </w:rPr>
              <w:t>Mozambique</w:t>
            </w:r>
          </w:p>
          <w:p w:rsidR="00292F29" w:rsidRPr="000563F4" w:rsidRDefault="00292F29" w:rsidP="00292F29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 xml:space="preserve"> </w:t>
            </w:r>
          </w:p>
          <w:p w:rsidR="00F70662" w:rsidRPr="000563F4" w:rsidRDefault="00F70662" w:rsidP="00F70662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70662" w:rsidRPr="000563F4" w:rsidRDefault="00F70662" w:rsidP="00F706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0563F4">
              <w:rPr>
                <w:sz w:val="20"/>
                <w:szCs w:val="20"/>
                <w:lang w:val="en-US"/>
              </w:rPr>
              <w:t>CTB support</w:t>
            </w:r>
            <w:r w:rsidR="008044D2" w:rsidRPr="000563F4">
              <w:rPr>
                <w:sz w:val="20"/>
                <w:szCs w:val="20"/>
                <w:lang w:val="en-US"/>
              </w:rPr>
              <w:t xml:space="preserve">s in </w:t>
            </w:r>
            <w:r w:rsidRPr="000563F4">
              <w:rPr>
                <w:sz w:val="20"/>
                <w:szCs w:val="20"/>
                <w:lang w:val="en-US"/>
              </w:rPr>
              <w:t>the development of</w:t>
            </w:r>
            <w:r w:rsidR="008044D2" w:rsidRPr="000563F4">
              <w:rPr>
                <w:sz w:val="20"/>
                <w:szCs w:val="20"/>
                <w:lang w:val="en-US"/>
              </w:rPr>
              <w:t xml:space="preserve"> </w:t>
            </w:r>
            <w:r w:rsidR="008044D2" w:rsidRPr="000563F4">
              <w:rPr>
                <w:b/>
                <w:sz w:val="20"/>
                <w:szCs w:val="20"/>
                <w:lang w:val="en-US"/>
              </w:rPr>
              <w:t>STR</w:t>
            </w:r>
            <w:r w:rsidRPr="000563F4">
              <w:rPr>
                <w:sz w:val="20"/>
                <w:szCs w:val="20"/>
                <w:lang w:val="en-US"/>
              </w:rPr>
              <w:t xml:space="preserve"> implementation plan. </w:t>
            </w:r>
            <w:r w:rsidR="008044D2" w:rsidRPr="000563F4">
              <w:rPr>
                <w:sz w:val="20"/>
                <w:szCs w:val="20"/>
                <w:lang w:val="en-US"/>
              </w:rPr>
              <w:t xml:space="preserve">Its introduction has been </w:t>
            </w:r>
            <w:r w:rsidRPr="000563F4">
              <w:rPr>
                <w:sz w:val="20"/>
                <w:szCs w:val="20"/>
                <w:lang w:val="en-US"/>
              </w:rPr>
              <w:t xml:space="preserve">approved informally at the national level by the MOH, but </w:t>
            </w:r>
            <w:r w:rsidR="005D7084" w:rsidRPr="000563F4">
              <w:rPr>
                <w:sz w:val="20"/>
                <w:szCs w:val="20"/>
                <w:lang w:val="en-US"/>
              </w:rPr>
              <w:t>f</w:t>
            </w:r>
            <w:r w:rsidRPr="000563F4">
              <w:rPr>
                <w:sz w:val="20"/>
                <w:szCs w:val="20"/>
                <w:lang w:val="en-US"/>
              </w:rPr>
              <w:t>ormal approval is still pending. However</w:t>
            </w:r>
            <w:r w:rsidR="008044D2" w:rsidRPr="000563F4">
              <w:rPr>
                <w:sz w:val="20"/>
                <w:szCs w:val="20"/>
                <w:lang w:val="en-US"/>
              </w:rPr>
              <w:t>,</w:t>
            </w:r>
            <w:r w:rsidRPr="000563F4">
              <w:rPr>
                <w:sz w:val="20"/>
                <w:szCs w:val="20"/>
                <w:lang w:val="en-US"/>
              </w:rPr>
              <w:t xml:space="preserve"> MSF in close coordination with NTP is piloting the use of STR in six selected sites, in Maputo city.</w:t>
            </w:r>
          </w:p>
          <w:p w:rsidR="00F70662" w:rsidRPr="000563F4" w:rsidRDefault="008044D2" w:rsidP="00F706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0563F4">
              <w:rPr>
                <w:sz w:val="20"/>
                <w:szCs w:val="20"/>
                <w:lang w:val="en-US"/>
              </w:rPr>
              <w:t>Phased</w:t>
            </w:r>
            <w:r w:rsidR="00F70662" w:rsidRPr="000563F4">
              <w:rPr>
                <w:sz w:val="20"/>
                <w:szCs w:val="20"/>
                <w:lang w:val="en-US"/>
              </w:rPr>
              <w:t xml:space="preserve"> introduction of STR: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5"/>
              <w:gridCol w:w="599"/>
              <w:gridCol w:w="878"/>
              <w:gridCol w:w="628"/>
            </w:tblGrid>
            <w:tr w:rsidR="008044D2" w:rsidRPr="000563F4" w:rsidTr="008044D2"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0563F4">
                    <w:rPr>
                      <w:sz w:val="20"/>
                      <w:szCs w:val="20"/>
                      <w:lang w:val="en-US"/>
                    </w:rPr>
                    <w:t>Sites</w:t>
                  </w:r>
                </w:p>
              </w:tc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0563F4">
                    <w:rPr>
                      <w:sz w:val="20"/>
                      <w:szCs w:val="20"/>
                      <w:lang w:val="en-US"/>
                    </w:rPr>
                    <w:t>Patients</w:t>
                  </w:r>
                </w:p>
              </w:tc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0563F4">
                    <w:rPr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</w:tr>
            <w:tr w:rsidR="008044D2" w:rsidRPr="000563F4" w:rsidTr="008044D2"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0563F4">
                    <w:rPr>
                      <w:sz w:val="20"/>
                      <w:szCs w:val="20"/>
                      <w:lang w:val="en-US"/>
                    </w:rPr>
                    <w:t>Maputo city</w:t>
                  </w:r>
                </w:p>
              </w:tc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0563F4"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0563F4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0563F4">
                    <w:rPr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8044D2" w:rsidRPr="000563F4" w:rsidTr="008044D2"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0563F4">
                    <w:rPr>
                      <w:sz w:val="20"/>
                      <w:szCs w:val="20"/>
                      <w:lang w:val="en-US"/>
                    </w:rPr>
                    <w:t>Maputo Province</w:t>
                  </w:r>
                </w:p>
              </w:tc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0563F4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0563F4"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0563F4">
                    <w:rPr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8044D2" w:rsidRPr="000563F4" w:rsidTr="008044D2"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0563F4">
                    <w:rPr>
                      <w:sz w:val="20"/>
                      <w:szCs w:val="20"/>
                      <w:lang w:val="en-US"/>
                    </w:rPr>
                    <w:t>Gaza Province</w:t>
                  </w:r>
                </w:p>
              </w:tc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0563F4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0563F4"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0563F4">
                    <w:rPr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8044D2" w:rsidRPr="000563F4" w:rsidTr="008044D2"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0563F4">
                    <w:rPr>
                      <w:sz w:val="20"/>
                      <w:szCs w:val="20"/>
                      <w:lang w:val="en-US"/>
                    </w:rPr>
                    <w:t xml:space="preserve">Nampula </w:t>
                  </w:r>
                  <w:proofErr w:type="spellStart"/>
                  <w:r w:rsidRPr="000563F4">
                    <w:rPr>
                      <w:sz w:val="20"/>
                      <w:szCs w:val="20"/>
                      <w:lang w:val="en-US"/>
                    </w:rPr>
                    <w:t>Prov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0563F4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0563F4">
                    <w:rPr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0563F4">
                    <w:rPr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8044D2" w:rsidRPr="000563F4" w:rsidTr="008044D2"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0563F4">
                    <w:rPr>
                      <w:sz w:val="20"/>
                      <w:szCs w:val="20"/>
                      <w:lang w:val="en-US"/>
                    </w:rPr>
                    <w:t>Sofala</w:t>
                  </w:r>
                  <w:proofErr w:type="spellEnd"/>
                  <w:r w:rsidRPr="000563F4">
                    <w:rPr>
                      <w:sz w:val="20"/>
                      <w:szCs w:val="20"/>
                      <w:lang w:val="en-US"/>
                    </w:rPr>
                    <w:t xml:space="preserve"> Province</w:t>
                  </w:r>
                </w:p>
              </w:tc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0563F4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0563F4">
                    <w:rPr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8044D2" w:rsidRPr="000563F4" w:rsidRDefault="008044D2" w:rsidP="008044D2">
                  <w:pPr>
                    <w:pStyle w:val="ListParagraph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 w:rsidRPr="000563F4">
                    <w:rPr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</w:tbl>
          <w:p w:rsidR="008044D2" w:rsidRPr="000563F4" w:rsidRDefault="008044D2" w:rsidP="008044D2">
            <w:pPr>
              <w:pStyle w:val="ListParagraph"/>
              <w:ind w:left="360"/>
              <w:rPr>
                <w:sz w:val="20"/>
                <w:szCs w:val="20"/>
                <w:lang w:val="en-US"/>
              </w:rPr>
            </w:pPr>
            <w:r w:rsidRPr="000563F4">
              <w:rPr>
                <w:sz w:val="20"/>
                <w:szCs w:val="20"/>
                <w:lang w:val="en-US"/>
              </w:rPr>
              <w:t>Total :  54 (?)                                      76</w:t>
            </w:r>
          </w:p>
          <w:p w:rsidR="00F70662" w:rsidRPr="000563F4" w:rsidRDefault="00F70662" w:rsidP="00F70662">
            <w:pPr>
              <w:rPr>
                <w:sz w:val="20"/>
                <w:szCs w:val="20"/>
              </w:rPr>
            </w:pPr>
          </w:p>
          <w:p w:rsidR="00F70662" w:rsidRPr="000563F4" w:rsidRDefault="008044D2" w:rsidP="00F70662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As of</w:t>
            </w:r>
            <w:r w:rsidR="00F70662" w:rsidRPr="000563F4">
              <w:rPr>
                <w:sz w:val="20"/>
                <w:szCs w:val="20"/>
              </w:rPr>
              <w:t xml:space="preserve"> Sept 2016 = 42</w:t>
            </w:r>
            <w:r w:rsidRPr="000563F4">
              <w:rPr>
                <w:sz w:val="20"/>
                <w:szCs w:val="20"/>
              </w:rPr>
              <w:t xml:space="preserve"> enrolled on </w:t>
            </w:r>
            <w:r w:rsidRPr="000563F4">
              <w:rPr>
                <w:b/>
                <w:sz w:val="20"/>
                <w:szCs w:val="20"/>
              </w:rPr>
              <w:t xml:space="preserve">STR </w:t>
            </w:r>
            <w:r w:rsidRPr="000563F4">
              <w:rPr>
                <w:sz w:val="20"/>
                <w:szCs w:val="20"/>
              </w:rPr>
              <w:t xml:space="preserve">by MSF among </w:t>
            </w:r>
            <w:proofErr w:type="spellStart"/>
            <w:r w:rsidRPr="000563F4">
              <w:rPr>
                <w:sz w:val="20"/>
                <w:szCs w:val="20"/>
              </w:rPr>
              <w:t>eligibles</w:t>
            </w:r>
            <w:proofErr w:type="spellEnd"/>
            <w:r w:rsidR="00F70662" w:rsidRPr="000563F4">
              <w:rPr>
                <w:sz w:val="20"/>
                <w:szCs w:val="20"/>
              </w:rPr>
              <w:t>; target next year</w:t>
            </w:r>
            <w:r w:rsidRPr="000563F4">
              <w:rPr>
                <w:sz w:val="20"/>
                <w:szCs w:val="20"/>
              </w:rPr>
              <w:t>=</w:t>
            </w:r>
            <w:r w:rsidR="00F70662" w:rsidRPr="000563F4">
              <w:rPr>
                <w:sz w:val="20"/>
                <w:szCs w:val="20"/>
              </w:rPr>
              <w:t xml:space="preserve"> 220</w:t>
            </w:r>
          </w:p>
          <w:p w:rsidR="00F70662" w:rsidRPr="000563F4" w:rsidRDefault="00F70662" w:rsidP="008044D2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Selected 14 sites to monitor</w:t>
            </w:r>
            <w:r w:rsidR="008044D2" w:rsidRPr="000563F4">
              <w:rPr>
                <w:sz w:val="20"/>
                <w:szCs w:val="20"/>
              </w:rPr>
              <w:t xml:space="preserve">; </w:t>
            </w:r>
            <w:r w:rsidR="005D7084" w:rsidRPr="000563F4">
              <w:rPr>
                <w:color w:val="000000" w:themeColor="text1"/>
                <w:sz w:val="20"/>
                <w:szCs w:val="20"/>
              </w:rPr>
              <w:t xml:space="preserve">SLDs </w:t>
            </w:r>
            <w:r w:rsidRPr="000563F4">
              <w:rPr>
                <w:color w:val="000000" w:themeColor="text1"/>
                <w:sz w:val="20"/>
                <w:szCs w:val="20"/>
              </w:rPr>
              <w:t>are available in country</w:t>
            </w:r>
            <w:r w:rsidR="005D7084" w:rsidRPr="000563F4">
              <w:rPr>
                <w:color w:val="000000" w:themeColor="text1"/>
                <w:sz w:val="20"/>
                <w:szCs w:val="20"/>
              </w:rPr>
              <w:t xml:space="preserve">; </w:t>
            </w:r>
            <w:r w:rsidRPr="000563F4">
              <w:rPr>
                <w:b/>
                <w:sz w:val="20"/>
                <w:szCs w:val="20"/>
              </w:rPr>
              <w:t>new drugs</w:t>
            </w:r>
            <w:r w:rsidRPr="000563F4">
              <w:rPr>
                <w:sz w:val="20"/>
                <w:szCs w:val="20"/>
              </w:rPr>
              <w:t xml:space="preserve"> are expected to be available in country by June 2017</w:t>
            </w:r>
            <w:r w:rsidR="005D7084" w:rsidRPr="000563F4">
              <w:rPr>
                <w:sz w:val="20"/>
                <w:szCs w:val="20"/>
              </w:rPr>
              <w:t>;</w:t>
            </w:r>
            <w:r w:rsidRPr="000563F4">
              <w:rPr>
                <w:sz w:val="20"/>
                <w:szCs w:val="20"/>
              </w:rPr>
              <w:t xml:space="preserve"> </w:t>
            </w:r>
            <w:r w:rsidR="008044D2" w:rsidRPr="000563F4">
              <w:rPr>
                <w:sz w:val="20"/>
                <w:szCs w:val="20"/>
              </w:rPr>
              <w:t xml:space="preserve">drug </w:t>
            </w:r>
            <w:r w:rsidRPr="000563F4">
              <w:rPr>
                <w:sz w:val="20"/>
                <w:szCs w:val="20"/>
              </w:rPr>
              <w:t>quantification already done and the procurement ongoing.</w:t>
            </w:r>
          </w:p>
        </w:tc>
        <w:tc>
          <w:tcPr>
            <w:tcW w:w="3145" w:type="dxa"/>
          </w:tcPr>
          <w:p w:rsidR="00F70662" w:rsidRPr="000563F4" w:rsidRDefault="00F70662" w:rsidP="00F70662">
            <w:pPr>
              <w:rPr>
                <w:sz w:val="20"/>
                <w:szCs w:val="20"/>
              </w:rPr>
            </w:pPr>
            <w:r w:rsidRPr="000563F4">
              <w:rPr>
                <w:b/>
                <w:sz w:val="20"/>
                <w:szCs w:val="20"/>
              </w:rPr>
              <w:t>SL-LPA</w:t>
            </w:r>
            <w:r w:rsidRPr="000563F4">
              <w:rPr>
                <w:sz w:val="20"/>
                <w:szCs w:val="20"/>
              </w:rPr>
              <w:t>: Training will be done in Dec for M</w:t>
            </w:r>
            <w:r w:rsidR="008044D2" w:rsidRPr="000563F4">
              <w:rPr>
                <w:sz w:val="20"/>
                <w:szCs w:val="20"/>
              </w:rPr>
              <w:t>a</w:t>
            </w:r>
            <w:r w:rsidRPr="000563F4">
              <w:rPr>
                <w:sz w:val="20"/>
                <w:szCs w:val="20"/>
              </w:rPr>
              <w:t>puto, and in Mar 2017 for Nampula</w:t>
            </w:r>
            <w:r w:rsidR="008044D2" w:rsidRPr="000563F4">
              <w:rPr>
                <w:sz w:val="20"/>
                <w:szCs w:val="20"/>
              </w:rPr>
              <w:t xml:space="preserve">, </w:t>
            </w:r>
            <w:r w:rsidRPr="000563F4">
              <w:rPr>
                <w:sz w:val="20"/>
                <w:szCs w:val="20"/>
              </w:rPr>
              <w:t>the</w:t>
            </w:r>
            <w:r w:rsidR="008044D2" w:rsidRPr="000563F4">
              <w:rPr>
                <w:sz w:val="20"/>
                <w:szCs w:val="20"/>
              </w:rPr>
              <w:t>n</w:t>
            </w:r>
            <w:r w:rsidRPr="000563F4">
              <w:rPr>
                <w:sz w:val="20"/>
                <w:szCs w:val="20"/>
              </w:rPr>
              <w:t xml:space="preserve"> the lab will start to operate.</w:t>
            </w:r>
          </w:p>
          <w:p w:rsidR="00F70662" w:rsidRPr="000563F4" w:rsidRDefault="00F70662" w:rsidP="00F70662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Very weak peripheral laboratory network</w:t>
            </w:r>
          </w:p>
          <w:p w:rsidR="00F70662" w:rsidRPr="000563F4" w:rsidRDefault="00F70662" w:rsidP="00F70662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3 labs can perform DST</w:t>
            </w:r>
          </w:p>
          <w:p w:rsidR="00F70662" w:rsidRPr="000563F4" w:rsidRDefault="00F70662" w:rsidP="00F70662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1 lab can do SL-LPA</w:t>
            </w:r>
            <w:r w:rsidR="008044D2" w:rsidRPr="000563F4">
              <w:rPr>
                <w:sz w:val="20"/>
                <w:szCs w:val="20"/>
              </w:rPr>
              <w:t xml:space="preserve"> (starting </w:t>
            </w:r>
            <w:r w:rsidRPr="000563F4">
              <w:rPr>
                <w:sz w:val="20"/>
                <w:szCs w:val="20"/>
              </w:rPr>
              <w:t>Jan 2017)</w:t>
            </w:r>
          </w:p>
          <w:p w:rsidR="00F70662" w:rsidRPr="000563F4" w:rsidRDefault="00F70662" w:rsidP="008044D2">
            <w:pPr>
              <w:rPr>
                <w:sz w:val="20"/>
                <w:szCs w:val="20"/>
              </w:rPr>
            </w:pPr>
            <w:r w:rsidRPr="000563F4">
              <w:rPr>
                <w:color w:val="000000" w:themeColor="text1"/>
                <w:sz w:val="20"/>
                <w:szCs w:val="20"/>
              </w:rPr>
              <w:t>Scale up in</w:t>
            </w:r>
            <w:r w:rsidRPr="000563F4">
              <w:rPr>
                <w:sz w:val="20"/>
                <w:szCs w:val="20"/>
              </w:rPr>
              <w:t xml:space="preserve"> 2017 to regional labs </w:t>
            </w:r>
            <w:r w:rsidR="008044D2" w:rsidRPr="000563F4">
              <w:rPr>
                <w:sz w:val="20"/>
                <w:szCs w:val="20"/>
              </w:rPr>
              <w:t>(</w:t>
            </w:r>
            <w:r w:rsidRPr="000563F4">
              <w:rPr>
                <w:sz w:val="20"/>
                <w:szCs w:val="20"/>
              </w:rPr>
              <w:t xml:space="preserve">Nampula Regional lab: </w:t>
            </w:r>
            <w:r w:rsidRPr="000563F4">
              <w:rPr>
                <w:b/>
                <w:sz w:val="20"/>
                <w:szCs w:val="20"/>
              </w:rPr>
              <w:t>SL-LPA</w:t>
            </w:r>
            <w:r w:rsidR="008044D2" w:rsidRPr="000563F4">
              <w:rPr>
                <w:sz w:val="20"/>
                <w:szCs w:val="20"/>
              </w:rPr>
              <w:t>, and</w:t>
            </w:r>
            <w:r w:rsidRPr="000563F4">
              <w:rPr>
                <w:sz w:val="20"/>
                <w:szCs w:val="20"/>
              </w:rPr>
              <w:t xml:space="preserve"> </w:t>
            </w:r>
            <w:proofErr w:type="spellStart"/>
            <w:r w:rsidRPr="000563F4">
              <w:rPr>
                <w:sz w:val="20"/>
                <w:szCs w:val="20"/>
              </w:rPr>
              <w:t>Sofala</w:t>
            </w:r>
            <w:proofErr w:type="spellEnd"/>
            <w:r w:rsidR="008044D2" w:rsidRPr="000563F4">
              <w:rPr>
                <w:sz w:val="20"/>
                <w:szCs w:val="20"/>
              </w:rPr>
              <w:t xml:space="preserve"> Regional lab:  </w:t>
            </w:r>
            <w:r w:rsidR="008044D2" w:rsidRPr="000563F4">
              <w:rPr>
                <w:b/>
                <w:sz w:val="20"/>
                <w:szCs w:val="20"/>
              </w:rPr>
              <w:t>FL</w:t>
            </w:r>
            <w:r w:rsidRPr="000563F4">
              <w:rPr>
                <w:b/>
                <w:sz w:val="20"/>
                <w:szCs w:val="20"/>
              </w:rPr>
              <w:t>-LPA</w:t>
            </w:r>
            <w:r w:rsidR="008044D2" w:rsidRPr="000563F4">
              <w:rPr>
                <w:sz w:val="20"/>
                <w:szCs w:val="20"/>
              </w:rPr>
              <w:t>)</w:t>
            </w:r>
            <w:r w:rsidRPr="000563F4">
              <w:rPr>
                <w:sz w:val="20"/>
                <w:szCs w:val="20"/>
              </w:rPr>
              <w:t xml:space="preserve"> </w:t>
            </w:r>
          </w:p>
        </w:tc>
      </w:tr>
      <w:tr w:rsidR="0002428D" w:rsidTr="000563F4">
        <w:tc>
          <w:tcPr>
            <w:tcW w:w="1435" w:type="dxa"/>
          </w:tcPr>
          <w:p w:rsidR="00E83CBC" w:rsidRPr="000563F4" w:rsidRDefault="00E83CBC" w:rsidP="00E83CBC">
            <w:pPr>
              <w:rPr>
                <w:b/>
                <w:sz w:val="20"/>
                <w:szCs w:val="20"/>
              </w:rPr>
            </w:pPr>
            <w:r w:rsidRPr="000563F4">
              <w:rPr>
                <w:b/>
                <w:sz w:val="20"/>
                <w:szCs w:val="20"/>
              </w:rPr>
              <w:t>Namibia</w:t>
            </w:r>
          </w:p>
          <w:p w:rsidR="00F70662" w:rsidRPr="000563F4" w:rsidRDefault="00F70662" w:rsidP="00E83CBC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E83CBC" w:rsidRPr="000563F4" w:rsidRDefault="00E83CBC" w:rsidP="00E83C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 NTP sensiti</w:t>
            </w:r>
            <w:r w:rsidR="000B24BA" w:rsidRPr="000563F4">
              <w:rPr>
                <w:sz w:val="20"/>
                <w:szCs w:val="20"/>
              </w:rPr>
              <w:t>z</w:t>
            </w:r>
            <w:r w:rsidRPr="000563F4">
              <w:rPr>
                <w:sz w:val="20"/>
                <w:szCs w:val="20"/>
              </w:rPr>
              <w:t>ed</w:t>
            </w:r>
            <w:r w:rsidR="0048496A" w:rsidRPr="000563F4">
              <w:rPr>
                <w:sz w:val="20"/>
                <w:szCs w:val="20"/>
              </w:rPr>
              <w:t>,</w:t>
            </w:r>
            <w:r w:rsidRPr="000563F4">
              <w:rPr>
                <w:sz w:val="20"/>
                <w:szCs w:val="20"/>
              </w:rPr>
              <w:t xml:space="preserve"> and </w:t>
            </w:r>
            <w:r w:rsidR="0048496A" w:rsidRPr="000563F4">
              <w:rPr>
                <w:b/>
                <w:sz w:val="20"/>
                <w:szCs w:val="20"/>
              </w:rPr>
              <w:t>STR</w:t>
            </w:r>
            <w:r w:rsidRPr="000563F4">
              <w:rPr>
                <w:sz w:val="20"/>
                <w:szCs w:val="20"/>
              </w:rPr>
              <w:t xml:space="preserve"> in</w:t>
            </w:r>
            <w:r w:rsidR="0048496A" w:rsidRPr="000563F4">
              <w:rPr>
                <w:sz w:val="20"/>
                <w:szCs w:val="20"/>
              </w:rPr>
              <w:t xml:space="preserve">corporated </w:t>
            </w:r>
            <w:r w:rsidRPr="000563F4">
              <w:rPr>
                <w:sz w:val="20"/>
                <w:szCs w:val="20"/>
              </w:rPr>
              <w:t xml:space="preserve">in the strategic plan </w:t>
            </w:r>
            <w:r w:rsidR="0048496A" w:rsidRPr="000563F4">
              <w:rPr>
                <w:sz w:val="20"/>
                <w:szCs w:val="20"/>
              </w:rPr>
              <w:t>and n</w:t>
            </w:r>
            <w:r w:rsidRPr="000563F4">
              <w:rPr>
                <w:sz w:val="20"/>
                <w:szCs w:val="20"/>
              </w:rPr>
              <w:t>ew PMDT guidelines</w:t>
            </w:r>
            <w:r w:rsidR="0048496A" w:rsidRPr="000563F4">
              <w:rPr>
                <w:sz w:val="20"/>
                <w:szCs w:val="20"/>
              </w:rPr>
              <w:t xml:space="preserve">, both </w:t>
            </w:r>
            <w:r w:rsidRPr="000563F4">
              <w:rPr>
                <w:sz w:val="20"/>
                <w:szCs w:val="20"/>
              </w:rPr>
              <w:t>under development</w:t>
            </w:r>
            <w:r w:rsidR="0048496A" w:rsidRPr="000563F4">
              <w:rPr>
                <w:sz w:val="20"/>
                <w:szCs w:val="20"/>
              </w:rPr>
              <w:t>. Will be</w:t>
            </w:r>
            <w:r w:rsidRPr="000563F4">
              <w:rPr>
                <w:sz w:val="20"/>
                <w:szCs w:val="20"/>
              </w:rPr>
              <w:t xml:space="preserve"> issued in Dec 2016</w:t>
            </w:r>
            <w:r w:rsidR="0048496A" w:rsidRPr="000563F4">
              <w:rPr>
                <w:sz w:val="20"/>
                <w:szCs w:val="20"/>
              </w:rPr>
              <w:t xml:space="preserve">. </w:t>
            </w:r>
            <w:r w:rsidRPr="000563F4">
              <w:rPr>
                <w:sz w:val="20"/>
                <w:szCs w:val="20"/>
              </w:rPr>
              <w:t>National roll-out envisaged in Jan 2017 onwards. </w:t>
            </w:r>
          </w:p>
          <w:p w:rsidR="000563F4" w:rsidRDefault="00E83CBC" w:rsidP="000563F4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The gov</w:t>
            </w:r>
            <w:r w:rsidR="0048496A" w:rsidRPr="000563F4">
              <w:rPr>
                <w:sz w:val="20"/>
                <w:szCs w:val="20"/>
              </w:rPr>
              <w:t>’</w:t>
            </w:r>
            <w:r w:rsidRPr="000563F4">
              <w:rPr>
                <w:sz w:val="20"/>
                <w:szCs w:val="20"/>
              </w:rPr>
              <w:t>t pharmaceutical services have prepared a forecast for the coming year and procurement will occur in due course (all drugs procured through the government)</w:t>
            </w:r>
            <w:r w:rsidR="000563F4">
              <w:rPr>
                <w:sz w:val="20"/>
                <w:szCs w:val="20"/>
              </w:rPr>
              <w:t>.</w:t>
            </w:r>
          </w:p>
          <w:p w:rsidR="00E83CBC" w:rsidRPr="000563F4" w:rsidRDefault="00E83CBC" w:rsidP="000563F4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Challenge: companion dr</w:t>
            </w:r>
            <w:r w:rsidR="0048496A" w:rsidRPr="000563F4">
              <w:rPr>
                <w:sz w:val="20"/>
                <w:szCs w:val="20"/>
              </w:rPr>
              <w:t>ugs are by competitive bidding,</w:t>
            </w:r>
            <w:r w:rsidRPr="000563F4">
              <w:rPr>
                <w:sz w:val="20"/>
                <w:szCs w:val="20"/>
              </w:rPr>
              <w:t> and we may not have control over when adequate quantities will be available</w:t>
            </w:r>
          </w:p>
          <w:p w:rsidR="00E83CBC" w:rsidRPr="000563F4" w:rsidRDefault="005D7084" w:rsidP="00E83C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563F4">
              <w:rPr>
                <w:b/>
                <w:sz w:val="20"/>
                <w:szCs w:val="20"/>
              </w:rPr>
              <w:lastRenderedPageBreak/>
              <w:t>Bdq</w:t>
            </w:r>
            <w:proofErr w:type="spellEnd"/>
            <w:r w:rsidRPr="000563F4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Pr="000563F4">
              <w:rPr>
                <w:b/>
                <w:sz w:val="20"/>
                <w:szCs w:val="20"/>
              </w:rPr>
              <w:t>Dlm</w:t>
            </w:r>
            <w:proofErr w:type="spellEnd"/>
            <w:r w:rsidR="00E83CBC" w:rsidRPr="000563F4">
              <w:rPr>
                <w:sz w:val="20"/>
                <w:szCs w:val="20"/>
              </w:rPr>
              <w:t xml:space="preserve"> are alrea</w:t>
            </w:r>
            <w:r w:rsidR="0048496A" w:rsidRPr="000563F4">
              <w:rPr>
                <w:sz w:val="20"/>
                <w:szCs w:val="20"/>
              </w:rPr>
              <w:t xml:space="preserve">dy in Essential Drugs list and are </w:t>
            </w:r>
            <w:r w:rsidR="00E83CBC" w:rsidRPr="000563F4">
              <w:rPr>
                <w:sz w:val="20"/>
                <w:szCs w:val="20"/>
              </w:rPr>
              <w:t xml:space="preserve">in use. So far 11 patients treated with </w:t>
            </w:r>
            <w:proofErr w:type="spellStart"/>
            <w:r w:rsidR="00E83CBC" w:rsidRPr="000563F4">
              <w:rPr>
                <w:sz w:val="20"/>
                <w:szCs w:val="20"/>
              </w:rPr>
              <w:t>Bdq</w:t>
            </w:r>
            <w:proofErr w:type="spellEnd"/>
            <w:r w:rsidR="00E83CBC" w:rsidRPr="000563F4">
              <w:rPr>
                <w:sz w:val="20"/>
                <w:szCs w:val="20"/>
              </w:rPr>
              <w:t xml:space="preserve"> (via GDF</w:t>
            </w:r>
            <w:r w:rsidR="000563F4">
              <w:rPr>
                <w:sz w:val="20"/>
                <w:szCs w:val="20"/>
              </w:rPr>
              <w:t xml:space="preserve"> from USAID donation </w:t>
            </w:r>
            <w:proofErr w:type="spellStart"/>
            <w:r w:rsidR="000563F4">
              <w:rPr>
                <w:sz w:val="20"/>
                <w:szCs w:val="20"/>
              </w:rPr>
              <w:t>programme</w:t>
            </w:r>
            <w:proofErr w:type="spellEnd"/>
            <w:r w:rsidR="000563F4">
              <w:rPr>
                <w:sz w:val="20"/>
                <w:szCs w:val="20"/>
              </w:rPr>
              <w:t>)</w:t>
            </w:r>
            <w:r w:rsidR="00E83CBC" w:rsidRPr="000563F4">
              <w:rPr>
                <w:sz w:val="20"/>
                <w:szCs w:val="20"/>
              </w:rPr>
              <w:t xml:space="preserve">, and 1 with </w:t>
            </w:r>
            <w:proofErr w:type="spellStart"/>
            <w:r w:rsidR="00E83CBC" w:rsidRPr="000563F4">
              <w:rPr>
                <w:sz w:val="20"/>
                <w:szCs w:val="20"/>
              </w:rPr>
              <w:t>Dlm</w:t>
            </w:r>
            <w:proofErr w:type="spellEnd"/>
            <w:r w:rsidR="00E83CBC" w:rsidRPr="000563F4">
              <w:rPr>
                <w:sz w:val="20"/>
                <w:szCs w:val="20"/>
              </w:rPr>
              <w:t xml:space="preserve"> (Compassionate use, Otsuka) </w:t>
            </w:r>
          </w:p>
        </w:tc>
        <w:tc>
          <w:tcPr>
            <w:tcW w:w="3145" w:type="dxa"/>
          </w:tcPr>
          <w:p w:rsidR="00E83CBC" w:rsidRPr="000563F4" w:rsidRDefault="00E83CBC" w:rsidP="00E83C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lastRenderedPageBreak/>
              <w:t xml:space="preserve">The lab network just completed validation of </w:t>
            </w:r>
            <w:r w:rsidRPr="000563F4">
              <w:rPr>
                <w:b/>
                <w:sz w:val="20"/>
                <w:szCs w:val="20"/>
              </w:rPr>
              <w:t>SL LPA</w:t>
            </w:r>
            <w:r w:rsidRPr="000563F4">
              <w:rPr>
                <w:sz w:val="20"/>
                <w:szCs w:val="20"/>
              </w:rPr>
              <w:t xml:space="preserve"> and will start using in Ja</w:t>
            </w:r>
            <w:r w:rsidR="0048496A" w:rsidRPr="000563F4">
              <w:rPr>
                <w:sz w:val="20"/>
                <w:szCs w:val="20"/>
              </w:rPr>
              <w:t>n</w:t>
            </w:r>
            <w:r w:rsidRPr="000563F4">
              <w:rPr>
                <w:sz w:val="20"/>
                <w:szCs w:val="20"/>
              </w:rPr>
              <w:t xml:space="preserve"> 2017.</w:t>
            </w:r>
          </w:p>
          <w:p w:rsidR="00E83CBC" w:rsidRPr="000563F4" w:rsidRDefault="00E83CBC" w:rsidP="00E83C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No universal DST ye</w:t>
            </w:r>
            <w:r w:rsidR="0048496A" w:rsidRPr="000563F4">
              <w:rPr>
                <w:sz w:val="20"/>
                <w:szCs w:val="20"/>
              </w:rPr>
              <w:t>t, but new algorithm incorporates</w:t>
            </w:r>
            <w:r w:rsidRPr="000563F4">
              <w:rPr>
                <w:sz w:val="20"/>
                <w:szCs w:val="20"/>
              </w:rPr>
              <w:t xml:space="preserve"> </w:t>
            </w:r>
            <w:proofErr w:type="spellStart"/>
            <w:r w:rsidRPr="000563F4">
              <w:rPr>
                <w:sz w:val="20"/>
                <w:szCs w:val="20"/>
              </w:rPr>
              <w:t>Xpert</w:t>
            </w:r>
            <w:proofErr w:type="spellEnd"/>
            <w:r w:rsidRPr="000563F4">
              <w:rPr>
                <w:sz w:val="20"/>
                <w:szCs w:val="20"/>
              </w:rPr>
              <w:t xml:space="preserve"> for all presumptive cases, followed by SL-LPA for the RR cases to be implemented from Jan 2017. </w:t>
            </w:r>
          </w:p>
          <w:p w:rsidR="00E83CBC" w:rsidRPr="000563F4" w:rsidRDefault="00E83CBC" w:rsidP="00E83C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 xml:space="preserve">Challenge: CTB in Namibia does not provide direct support to the lab </w:t>
            </w:r>
            <w:r w:rsidRPr="000563F4">
              <w:rPr>
                <w:sz w:val="20"/>
                <w:szCs w:val="20"/>
              </w:rPr>
              <w:lastRenderedPageBreak/>
              <w:t>network</w:t>
            </w:r>
            <w:r w:rsidR="0048496A" w:rsidRPr="000563F4">
              <w:rPr>
                <w:sz w:val="20"/>
                <w:szCs w:val="20"/>
              </w:rPr>
              <w:t xml:space="preserve"> </w:t>
            </w:r>
            <w:r w:rsidRPr="000563F4">
              <w:rPr>
                <w:sz w:val="20"/>
                <w:szCs w:val="20"/>
              </w:rPr>
              <w:t>but does advocate for the new algorithm &amp; guidelines. </w:t>
            </w:r>
          </w:p>
        </w:tc>
      </w:tr>
      <w:tr w:rsidR="0031191A" w:rsidTr="000563F4">
        <w:tc>
          <w:tcPr>
            <w:tcW w:w="1435" w:type="dxa"/>
          </w:tcPr>
          <w:p w:rsidR="00ED3423" w:rsidRPr="000563F4" w:rsidRDefault="00ED3423" w:rsidP="00ED3423">
            <w:pPr>
              <w:rPr>
                <w:b/>
                <w:sz w:val="20"/>
                <w:szCs w:val="20"/>
              </w:rPr>
            </w:pPr>
            <w:r w:rsidRPr="000563F4">
              <w:rPr>
                <w:b/>
                <w:sz w:val="20"/>
                <w:szCs w:val="20"/>
              </w:rPr>
              <w:lastRenderedPageBreak/>
              <w:t>Ukraine</w:t>
            </w:r>
          </w:p>
        </w:tc>
        <w:tc>
          <w:tcPr>
            <w:tcW w:w="4770" w:type="dxa"/>
          </w:tcPr>
          <w:p w:rsidR="00ED3423" w:rsidRPr="000563F4" w:rsidRDefault="0062578E" w:rsidP="00ED3423">
            <w:pPr>
              <w:rPr>
                <w:sz w:val="20"/>
                <w:szCs w:val="20"/>
              </w:rPr>
            </w:pPr>
            <w:r w:rsidRPr="000563F4">
              <w:rPr>
                <w:b/>
                <w:sz w:val="20"/>
                <w:szCs w:val="20"/>
              </w:rPr>
              <w:t>STR:</w:t>
            </w:r>
            <w:r w:rsidRPr="000563F4">
              <w:rPr>
                <w:sz w:val="20"/>
                <w:szCs w:val="20"/>
              </w:rPr>
              <w:t xml:space="preserve"> p</w:t>
            </w:r>
            <w:r w:rsidR="00ED3423" w:rsidRPr="000563F4">
              <w:rPr>
                <w:sz w:val="20"/>
                <w:szCs w:val="20"/>
              </w:rPr>
              <w:t>lan to replace Clofazimine</w:t>
            </w:r>
            <w:r w:rsidR="0048496A" w:rsidRPr="000563F4">
              <w:rPr>
                <w:sz w:val="20"/>
                <w:szCs w:val="20"/>
              </w:rPr>
              <w:t xml:space="preserve"> (</w:t>
            </w:r>
            <w:proofErr w:type="spellStart"/>
            <w:r w:rsidR="0048496A" w:rsidRPr="000563F4">
              <w:rPr>
                <w:sz w:val="20"/>
                <w:szCs w:val="20"/>
              </w:rPr>
              <w:t>Clz</w:t>
            </w:r>
            <w:proofErr w:type="spellEnd"/>
            <w:r w:rsidR="0048496A" w:rsidRPr="000563F4">
              <w:rPr>
                <w:sz w:val="20"/>
                <w:szCs w:val="20"/>
              </w:rPr>
              <w:t>)</w:t>
            </w:r>
            <w:r w:rsidR="00ED3423" w:rsidRPr="000563F4">
              <w:rPr>
                <w:sz w:val="20"/>
                <w:szCs w:val="20"/>
              </w:rPr>
              <w:t xml:space="preserve"> with </w:t>
            </w:r>
            <w:proofErr w:type="spellStart"/>
            <w:r w:rsidR="00ED3423" w:rsidRPr="000563F4">
              <w:rPr>
                <w:sz w:val="20"/>
                <w:szCs w:val="20"/>
              </w:rPr>
              <w:t>Bdq</w:t>
            </w:r>
            <w:proofErr w:type="spellEnd"/>
            <w:r w:rsidR="0048496A" w:rsidRPr="000563F4">
              <w:rPr>
                <w:sz w:val="20"/>
                <w:szCs w:val="20"/>
              </w:rPr>
              <w:t>.</w:t>
            </w:r>
            <w:r w:rsidR="00ED3423" w:rsidRPr="000563F4">
              <w:rPr>
                <w:sz w:val="20"/>
                <w:szCs w:val="20"/>
              </w:rPr>
              <w:t xml:space="preserve"> </w:t>
            </w:r>
            <w:proofErr w:type="spellStart"/>
            <w:r w:rsidR="00ED3423" w:rsidRPr="000563F4">
              <w:rPr>
                <w:sz w:val="20"/>
                <w:szCs w:val="20"/>
              </w:rPr>
              <w:t>Clz</w:t>
            </w:r>
            <w:proofErr w:type="spellEnd"/>
            <w:r w:rsidR="00ED3423" w:rsidRPr="000563F4">
              <w:rPr>
                <w:sz w:val="20"/>
                <w:szCs w:val="20"/>
              </w:rPr>
              <w:t xml:space="preserve"> is not registered (although included in the essential medicines list).</w:t>
            </w:r>
            <w:r w:rsidR="0048496A" w:rsidRPr="000563F4">
              <w:rPr>
                <w:sz w:val="20"/>
                <w:szCs w:val="20"/>
              </w:rPr>
              <w:t xml:space="preserve"> But </w:t>
            </w:r>
            <w:proofErr w:type="spellStart"/>
            <w:r w:rsidR="0048496A" w:rsidRPr="000563F4">
              <w:rPr>
                <w:sz w:val="20"/>
                <w:szCs w:val="20"/>
              </w:rPr>
              <w:t>Bdq</w:t>
            </w:r>
            <w:proofErr w:type="spellEnd"/>
            <w:r w:rsidR="0048496A" w:rsidRPr="000563F4">
              <w:rPr>
                <w:sz w:val="20"/>
                <w:szCs w:val="20"/>
              </w:rPr>
              <w:t xml:space="preserve"> is also not registered and is being considered because of the following. </w:t>
            </w:r>
          </w:p>
          <w:p w:rsidR="00ED3423" w:rsidRPr="000563F4" w:rsidRDefault="00ED3423" w:rsidP="00ED3423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 xml:space="preserve">1 – BDQ is available through donation program </w:t>
            </w:r>
          </w:p>
          <w:p w:rsidR="00ED3423" w:rsidRPr="000563F4" w:rsidRDefault="00ED3423" w:rsidP="00ED3423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 xml:space="preserve">2 – </w:t>
            </w:r>
            <w:proofErr w:type="spellStart"/>
            <w:r w:rsidRPr="000563F4">
              <w:rPr>
                <w:sz w:val="20"/>
                <w:szCs w:val="20"/>
              </w:rPr>
              <w:t>Clz</w:t>
            </w:r>
            <w:proofErr w:type="spellEnd"/>
            <w:r w:rsidRPr="000563F4">
              <w:rPr>
                <w:sz w:val="20"/>
                <w:szCs w:val="20"/>
              </w:rPr>
              <w:t xml:space="preserve"> was not properly used lately so CTB team was sure that BDQ will have better results  </w:t>
            </w:r>
          </w:p>
          <w:p w:rsidR="00ED3423" w:rsidRPr="000563F4" w:rsidRDefault="00ED3423" w:rsidP="00ED3423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3 – According to the NTP inform</w:t>
            </w:r>
            <w:r w:rsidR="005819A0" w:rsidRPr="000563F4">
              <w:rPr>
                <w:sz w:val="20"/>
                <w:szCs w:val="20"/>
              </w:rPr>
              <w:t xml:space="preserve">ation received this summer </w:t>
            </w:r>
            <w:proofErr w:type="spellStart"/>
            <w:r w:rsidR="005819A0" w:rsidRPr="000563F4">
              <w:rPr>
                <w:sz w:val="20"/>
                <w:szCs w:val="20"/>
              </w:rPr>
              <w:t>Clz</w:t>
            </w:r>
            <w:proofErr w:type="spellEnd"/>
            <w:r w:rsidR="005819A0" w:rsidRPr="000563F4">
              <w:rPr>
                <w:sz w:val="20"/>
                <w:szCs w:val="20"/>
              </w:rPr>
              <w:t>, will</w:t>
            </w:r>
            <w:r w:rsidRPr="000563F4">
              <w:rPr>
                <w:sz w:val="20"/>
                <w:szCs w:val="20"/>
              </w:rPr>
              <w:t xml:space="preserve"> not </w:t>
            </w:r>
            <w:r w:rsidR="005819A0" w:rsidRPr="000563F4">
              <w:rPr>
                <w:sz w:val="20"/>
                <w:szCs w:val="20"/>
              </w:rPr>
              <w:t>be available for procurement by</w:t>
            </w:r>
            <w:r w:rsidRPr="000563F4">
              <w:rPr>
                <w:sz w:val="20"/>
                <w:szCs w:val="20"/>
              </w:rPr>
              <w:t xml:space="preserve"> 2018 </w:t>
            </w:r>
          </w:p>
          <w:p w:rsidR="00ED3423" w:rsidRPr="000563F4" w:rsidRDefault="00ED3423" w:rsidP="00ED3423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In Ukraine</w:t>
            </w:r>
            <w:r w:rsidR="005819A0" w:rsidRPr="000563F4">
              <w:rPr>
                <w:sz w:val="20"/>
                <w:szCs w:val="20"/>
              </w:rPr>
              <w:t xml:space="preserve">; </w:t>
            </w:r>
            <w:r w:rsidRPr="000563F4">
              <w:rPr>
                <w:sz w:val="20"/>
                <w:szCs w:val="20"/>
              </w:rPr>
              <w:t xml:space="preserve">there is a law to sell only registered drugs. </w:t>
            </w:r>
          </w:p>
          <w:p w:rsidR="00ED3423" w:rsidRPr="000563F4" w:rsidRDefault="00ED3423" w:rsidP="00ED3423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 xml:space="preserve">Year </w:t>
            </w:r>
            <w:r w:rsidR="005819A0" w:rsidRPr="000563F4">
              <w:rPr>
                <w:sz w:val="20"/>
                <w:szCs w:val="20"/>
              </w:rPr>
              <w:t>3</w:t>
            </w:r>
            <w:r w:rsidRPr="000563F4">
              <w:rPr>
                <w:sz w:val="20"/>
                <w:szCs w:val="20"/>
              </w:rPr>
              <w:t xml:space="preserve"> – Triage protocol was divided into two separate documents</w:t>
            </w:r>
            <w:r w:rsidR="0062578E" w:rsidRPr="000563F4">
              <w:rPr>
                <w:sz w:val="20"/>
                <w:szCs w:val="20"/>
              </w:rPr>
              <w:t>-</w:t>
            </w:r>
            <w:r w:rsidRPr="000563F4">
              <w:rPr>
                <w:sz w:val="20"/>
                <w:szCs w:val="20"/>
              </w:rPr>
              <w:t xml:space="preserve"> </w:t>
            </w:r>
            <w:r w:rsidR="0062578E" w:rsidRPr="000563F4">
              <w:rPr>
                <w:sz w:val="20"/>
                <w:szCs w:val="20"/>
              </w:rPr>
              <w:t>o</w:t>
            </w:r>
            <w:r w:rsidRPr="000563F4">
              <w:rPr>
                <w:sz w:val="20"/>
                <w:szCs w:val="20"/>
              </w:rPr>
              <w:t xml:space="preserve">ne for NDR implementation that CTB currently pushing to be endorsed. </w:t>
            </w:r>
            <w:r w:rsidR="0062578E" w:rsidRPr="000563F4">
              <w:rPr>
                <w:sz w:val="20"/>
                <w:szCs w:val="20"/>
              </w:rPr>
              <w:t>This document will create legal</w:t>
            </w:r>
            <w:r w:rsidRPr="000563F4">
              <w:rPr>
                <w:sz w:val="20"/>
                <w:szCs w:val="20"/>
              </w:rPr>
              <w:t xml:space="preserve"> framework for </w:t>
            </w:r>
            <w:proofErr w:type="spellStart"/>
            <w:r w:rsidRPr="000563F4">
              <w:rPr>
                <w:sz w:val="20"/>
                <w:szCs w:val="20"/>
              </w:rPr>
              <w:t>B</w:t>
            </w:r>
            <w:r w:rsidR="0062578E" w:rsidRPr="000563F4">
              <w:rPr>
                <w:sz w:val="20"/>
                <w:szCs w:val="20"/>
              </w:rPr>
              <w:t>dq</w:t>
            </w:r>
            <w:proofErr w:type="spellEnd"/>
            <w:r w:rsidR="0062578E" w:rsidRPr="000563F4">
              <w:rPr>
                <w:sz w:val="20"/>
                <w:szCs w:val="20"/>
              </w:rPr>
              <w:t xml:space="preserve"> </w:t>
            </w:r>
            <w:r w:rsidRPr="000563F4">
              <w:rPr>
                <w:sz w:val="20"/>
                <w:szCs w:val="20"/>
              </w:rPr>
              <w:t>im</w:t>
            </w:r>
            <w:r w:rsidR="0062578E" w:rsidRPr="000563F4">
              <w:rPr>
                <w:sz w:val="20"/>
                <w:szCs w:val="20"/>
              </w:rPr>
              <w:t xml:space="preserve">plementation in country. </w:t>
            </w:r>
            <w:r w:rsidRPr="000563F4">
              <w:rPr>
                <w:sz w:val="20"/>
                <w:szCs w:val="20"/>
              </w:rPr>
              <w:t>In parallel</w:t>
            </w:r>
            <w:r w:rsidR="0062578E" w:rsidRPr="000563F4">
              <w:rPr>
                <w:sz w:val="20"/>
                <w:szCs w:val="20"/>
              </w:rPr>
              <w:t>,</w:t>
            </w:r>
            <w:r w:rsidRPr="000563F4">
              <w:rPr>
                <w:sz w:val="20"/>
                <w:szCs w:val="20"/>
              </w:rPr>
              <w:t xml:space="preserve"> CTB will pilot </w:t>
            </w:r>
            <w:proofErr w:type="spellStart"/>
            <w:r w:rsidRPr="000563F4">
              <w:rPr>
                <w:sz w:val="20"/>
                <w:szCs w:val="20"/>
              </w:rPr>
              <w:t>B</w:t>
            </w:r>
            <w:r w:rsidR="0062578E" w:rsidRPr="000563F4">
              <w:rPr>
                <w:sz w:val="20"/>
                <w:szCs w:val="20"/>
              </w:rPr>
              <w:t>dq</w:t>
            </w:r>
            <w:proofErr w:type="spellEnd"/>
            <w:r w:rsidRPr="000563F4">
              <w:rPr>
                <w:sz w:val="20"/>
                <w:szCs w:val="20"/>
              </w:rPr>
              <w:t xml:space="preserve"> in pilot sites. </w:t>
            </w:r>
          </w:p>
          <w:p w:rsidR="00ED3423" w:rsidRPr="000563F4" w:rsidRDefault="00ED3423" w:rsidP="00ED3423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STR – CTB will work with NTP to implement STR and NDRs through the revision of the national TB guidelines.</w:t>
            </w:r>
          </w:p>
          <w:p w:rsidR="00ED3423" w:rsidRPr="000563F4" w:rsidRDefault="00ED3423" w:rsidP="00ED3423">
            <w:pPr>
              <w:rPr>
                <w:sz w:val="20"/>
                <w:szCs w:val="20"/>
              </w:rPr>
            </w:pPr>
          </w:p>
          <w:p w:rsidR="00ED3423" w:rsidRPr="000563F4" w:rsidRDefault="00ED3423" w:rsidP="00ED3423">
            <w:pPr>
              <w:rPr>
                <w:sz w:val="20"/>
                <w:szCs w:val="20"/>
              </w:rPr>
            </w:pPr>
            <w:proofErr w:type="spellStart"/>
            <w:r w:rsidRPr="000563F4">
              <w:rPr>
                <w:b/>
                <w:sz w:val="20"/>
                <w:szCs w:val="20"/>
              </w:rPr>
              <w:t>Bdq</w:t>
            </w:r>
            <w:proofErr w:type="spellEnd"/>
            <w:r w:rsidRPr="000563F4">
              <w:rPr>
                <w:sz w:val="20"/>
                <w:szCs w:val="20"/>
              </w:rPr>
              <w:t xml:space="preserve"> </w:t>
            </w:r>
            <w:r w:rsidR="0062578E" w:rsidRPr="000563F4">
              <w:rPr>
                <w:sz w:val="20"/>
                <w:szCs w:val="20"/>
              </w:rPr>
              <w:t>-</w:t>
            </w:r>
            <w:r w:rsidRPr="000563F4">
              <w:rPr>
                <w:sz w:val="20"/>
                <w:szCs w:val="20"/>
              </w:rPr>
              <w:t>  600 patients target</w:t>
            </w:r>
            <w:r w:rsidR="0062578E" w:rsidRPr="000563F4">
              <w:rPr>
                <w:sz w:val="20"/>
                <w:szCs w:val="20"/>
              </w:rPr>
              <w:t xml:space="preserve"> in</w:t>
            </w:r>
            <w:r w:rsidRPr="000563F4">
              <w:rPr>
                <w:sz w:val="20"/>
                <w:szCs w:val="20"/>
              </w:rPr>
              <w:t xml:space="preserve"> </w:t>
            </w:r>
            <w:r w:rsidRPr="000563F4">
              <w:rPr>
                <w:b/>
                <w:sz w:val="20"/>
                <w:szCs w:val="20"/>
              </w:rPr>
              <w:t>1-2 sites</w:t>
            </w:r>
            <w:r w:rsidRPr="000563F4">
              <w:rPr>
                <w:sz w:val="20"/>
                <w:szCs w:val="20"/>
              </w:rPr>
              <w:t xml:space="preserve"> planned (Q2-Q3). </w:t>
            </w:r>
            <w:r w:rsidR="0062578E" w:rsidRPr="000563F4">
              <w:rPr>
                <w:sz w:val="20"/>
                <w:szCs w:val="20"/>
              </w:rPr>
              <w:t>This information</w:t>
            </w:r>
            <w:r w:rsidRPr="000563F4">
              <w:rPr>
                <w:sz w:val="20"/>
                <w:szCs w:val="20"/>
              </w:rPr>
              <w:t> could be updated in early 2018.</w:t>
            </w:r>
          </w:p>
        </w:tc>
        <w:tc>
          <w:tcPr>
            <w:tcW w:w="3145" w:type="dxa"/>
          </w:tcPr>
          <w:p w:rsidR="00ED3423" w:rsidRPr="000563F4" w:rsidRDefault="00ED3423" w:rsidP="00ED3423">
            <w:pPr>
              <w:rPr>
                <w:color w:val="1F497D"/>
                <w:sz w:val="20"/>
                <w:szCs w:val="20"/>
              </w:rPr>
            </w:pPr>
            <w:r w:rsidRPr="000563F4">
              <w:rPr>
                <w:color w:val="1F497D"/>
                <w:sz w:val="20"/>
                <w:szCs w:val="20"/>
              </w:rPr>
              <w:t xml:space="preserve">There are 3 </w:t>
            </w:r>
            <w:r w:rsidRPr="000563F4">
              <w:rPr>
                <w:b/>
                <w:color w:val="1F497D"/>
                <w:sz w:val="20"/>
                <w:szCs w:val="20"/>
              </w:rPr>
              <w:t>HIAN</w:t>
            </w:r>
            <w:r w:rsidRPr="000563F4">
              <w:rPr>
                <w:color w:val="1F497D"/>
                <w:sz w:val="20"/>
                <w:szCs w:val="20"/>
              </w:rPr>
              <w:t>s in country:</w:t>
            </w:r>
          </w:p>
          <w:p w:rsidR="00ED3423" w:rsidRPr="000563F4" w:rsidRDefault="00ED3423" w:rsidP="00ED3423">
            <w:pPr>
              <w:rPr>
                <w:color w:val="1F497D"/>
                <w:sz w:val="20"/>
                <w:szCs w:val="20"/>
              </w:rPr>
            </w:pPr>
            <w:r w:rsidRPr="000563F4">
              <w:rPr>
                <w:color w:val="1F497D"/>
                <w:sz w:val="20"/>
                <w:szCs w:val="20"/>
              </w:rPr>
              <w:t>One in NRL and two in regions.</w:t>
            </w:r>
          </w:p>
        </w:tc>
      </w:tr>
    </w:tbl>
    <w:p w:rsidR="0031191A" w:rsidRDefault="0031191A" w:rsidP="0031191A">
      <w:pPr>
        <w:spacing w:after="0"/>
        <w:rPr>
          <w:b/>
        </w:rPr>
      </w:pPr>
    </w:p>
    <w:p w:rsidR="00FC1186" w:rsidRPr="008B798E" w:rsidRDefault="005A0A7D" w:rsidP="0031191A">
      <w:pPr>
        <w:spacing w:after="0"/>
        <w:rPr>
          <w:b/>
        </w:rPr>
      </w:pPr>
      <w:r>
        <w:rPr>
          <w:b/>
        </w:rPr>
        <w:t>Meeting</w:t>
      </w:r>
      <w:r w:rsidR="003E6B17" w:rsidRPr="008B798E">
        <w:rPr>
          <w:b/>
        </w:rPr>
        <w:t xml:space="preserve">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135"/>
        <w:gridCol w:w="2144"/>
        <w:gridCol w:w="2906"/>
      </w:tblGrid>
      <w:tr w:rsidR="003E6B17" w:rsidRPr="000563F4" w:rsidTr="00AC1F97">
        <w:tc>
          <w:tcPr>
            <w:tcW w:w="2165" w:type="dxa"/>
          </w:tcPr>
          <w:p w:rsidR="003E6B17" w:rsidRPr="000563F4" w:rsidRDefault="003E6B17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 xml:space="preserve">Country </w:t>
            </w:r>
          </w:p>
        </w:tc>
        <w:tc>
          <w:tcPr>
            <w:tcW w:w="2135" w:type="dxa"/>
          </w:tcPr>
          <w:p w:rsidR="003E6B17" w:rsidRPr="000563F4" w:rsidRDefault="00611E89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Name</w:t>
            </w:r>
          </w:p>
        </w:tc>
        <w:tc>
          <w:tcPr>
            <w:tcW w:w="2144" w:type="dxa"/>
          </w:tcPr>
          <w:p w:rsidR="003E6B17" w:rsidRPr="000563F4" w:rsidRDefault="00611E89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Organization</w:t>
            </w:r>
          </w:p>
        </w:tc>
        <w:tc>
          <w:tcPr>
            <w:tcW w:w="2906" w:type="dxa"/>
          </w:tcPr>
          <w:p w:rsidR="003E6B17" w:rsidRPr="000563F4" w:rsidRDefault="00611E89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Email address</w:t>
            </w:r>
          </w:p>
        </w:tc>
      </w:tr>
      <w:tr w:rsidR="0036338E" w:rsidRPr="000563F4" w:rsidTr="00782E5C">
        <w:tc>
          <w:tcPr>
            <w:tcW w:w="2165" w:type="dxa"/>
          </w:tcPr>
          <w:p w:rsidR="0036338E" w:rsidRPr="000563F4" w:rsidRDefault="0036338E" w:rsidP="00782E5C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Bangladesh</w:t>
            </w:r>
          </w:p>
        </w:tc>
        <w:tc>
          <w:tcPr>
            <w:tcW w:w="2135" w:type="dxa"/>
          </w:tcPr>
          <w:p w:rsidR="0036338E" w:rsidRPr="000563F4" w:rsidRDefault="0036338E" w:rsidP="00782E5C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Chris Welch</w:t>
            </w:r>
          </w:p>
        </w:tc>
        <w:tc>
          <w:tcPr>
            <w:tcW w:w="2144" w:type="dxa"/>
          </w:tcPr>
          <w:p w:rsidR="0036338E" w:rsidRPr="000563F4" w:rsidRDefault="0036338E" w:rsidP="00782E5C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MSH- Bangladesh</w:t>
            </w:r>
          </w:p>
        </w:tc>
        <w:tc>
          <w:tcPr>
            <w:tcW w:w="2906" w:type="dxa"/>
          </w:tcPr>
          <w:p w:rsidR="0036338E" w:rsidRPr="000563F4" w:rsidRDefault="00AF3C7F" w:rsidP="00782E5C">
            <w:pPr>
              <w:rPr>
                <w:sz w:val="20"/>
                <w:szCs w:val="20"/>
              </w:rPr>
            </w:pPr>
            <w:hyperlink r:id="rId8" w:history="1">
              <w:r w:rsidR="0036338E" w:rsidRPr="000563F4">
                <w:rPr>
                  <w:rStyle w:val="Hyperlink"/>
                  <w:sz w:val="20"/>
                  <w:szCs w:val="20"/>
                </w:rPr>
                <w:t>cwelch@msh.org</w:t>
              </w:r>
            </w:hyperlink>
          </w:p>
        </w:tc>
      </w:tr>
      <w:tr w:rsidR="0036338E" w:rsidRPr="000563F4" w:rsidTr="00782E5C">
        <w:tc>
          <w:tcPr>
            <w:tcW w:w="2165" w:type="dxa"/>
          </w:tcPr>
          <w:p w:rsidR="0036338E" w:rsidRPr="000563F4" w:rsidRDefault="0036338E" w:rsidP="00782E5C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India</w:t>
            </w:r>
          </w:p>
        </w:tc>
        <w:tc>
          <w:tcPr>
            <w:tcW w:w="2135" w:type="dxa"/>
          </w:tcPr>
          <w:p w:rsidR="0036338E" w:rsidRPr="000563F4" w:rsidRDefault="0036338E" w:rsidP="00782E5C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Neerja Arora</w:t>
            </w:r>
          </w:p>
        </w:tc>
        <w:tc>
          <w:tcPr>
            <w:tcW w:w="2144" w:type="dxa"/>
          </w:tcPr>
          <w:p w:rsidR="0036338E" w:rsidRPr="000563F4" w:rsidRDefault="0036338E" w:rsidP="00782E5C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CTB India</w:t>
            </w:r>
          </w:p>
        </w:tc>
        <w:tc>
          <w:tcPr>
            <w:tcW w:w="2906" w:type="dxa"/>
          </w:tcPr>
          <w:p w:rsidR="0036338E" w:rsidRPr="000563F4" w:rsidRDefault="00AF3C7F" w:rsidP="00782E5C">
            <w:pPr>
              <w:rPr>
                <w:sz w:val="20"/>
                <w:szCs w:val="20"/>
              </w:rPr>
            </w:pPr>
            <w:hyperlink r:id="rId9" w:history="1">
              <w:r w:rsidR="0036338E" w:rsidRPr="000563F4">
                <w:rPr>
                  <w:rStyle w:val="Hyperlink"/>
                  <w:sz w:val="20"/>
                  <w:szCs w:val="20"/>
                </w:rPr>
                <w:t>narora@theunion.org</w:t>
              </w:r>
            </w:hyperlink>
            <w:r w:rsidR="0036338E" w:rsidRPr="000563F4">
              <w:rPr>
                <w:sz w:val="20"/>
                <w:szCs w:val="20"/>
              </w:rPr>
              <w:t xml:space="preserve"> </w:t>
            </w:r>
          </w:p>
        </w:tc>
      </w:tr>
      <w:tr w:rsidR="0036338E" w:rsidRPr="000563F4" w:rsidTr="00782E5C">
        <w:tc>
          <w:tcPr>
            <w:tcW w:w="2165" w:type="dxa"/>
          </w:tcPr>
          <w:p w:rsidR="0036338E" w:rsidRPr="000563F4" w:rsidRDefault="0036338E" w:rsidP="00782E5C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Indonesia</w:t>
            </w:r>
          </w:p>
        </w:tc>
        <w:tc>
          <w:tcPr>
            <w:tcW w:w="2135" w:type="dxa"/>
          </w:tcPr>
          <w:p w:rsidR="0036338E" w:rsidRPr="000563F4" w:rsidRDefault="0036338E" w:rsidP="00782E5C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 xml:space="preserve">Bey </w:t>
            </w:r>
            <w:proofErr w:type="spellStart"/>
            <w:r w:rsidRPr="000563F4">
              <w:rPr>
                <w:sz w:val="20"/>
                <w:szCs w:val="20"/>
              </w:rPr>
              <w:t>Somala</w:t>
            </w:r>
            <w:proofErr w:type="spellEnd"/>
          </w:p>
        </w:tc>
        <w:tc>
          <w:tcPr>
            <w:tcW w:w="2144" w:type="dxa"/>
          </w:tcPr>
          <w:p w:rsidR="0036338E" w:rsidRPr="000563F4" w:rsidRDefault="0036338E" w:rsidP="00782E5C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CTB/KNCV Indonesia</w:t>
            </w:r>
          </w:p>
        </w:tc>
        <w:tc>
          <w:tcPr>
            <w:tcW w:w="2906" w:type="dxa"/>
          </w:tcPr>
          <w:p w:rsidR="0036338E" w:rsidRPr="000563F4" w:rsidRDefault="00AF3C7F" w:rsidP="00782E5C">
            <w:pPr>
              <w:rPr>
                <w:sz w:val="20"/>
                <w:szCs w:val="20"/>
              </w:rPr>
            </w:pPr>
            <w:hyperlink r:id="rId10" w:history="1">
              <w:r w:rsidR="0036338E" w:rsidRPr="000563F4">
                <w:rPr>
                  <w:rStyle w:val="Hyperlink"/>
                  <w:sz w:val="20"/>
                  <w:szCs w:val="20"/>
                </w:rPr>
                <w:t>bey.sonata@kncvtbc.org</w:t>
              </w:r>
            </w:hyperlink>
            <w:r w:rsidR="0036338E" w:rsidRPr="000563F4">
              <w:rPr>
                <w:sz w:val="20"/>
                <w:szCs w:val="20"/>
              </w:rPr>
              <w:t xml:space="preserve"> </w:t>
            </w:r>
          </w:p>
        </w:tc>
      </w:tr>
      <w:tr w:rsidR="0036338E" w:rsidRPr="000563F4" w:rsidTr="00782E5C">
        <w:tc>
          <w:tcPr>
            <w:tcW w:w="2165" w:type="dxa"/>
          </w:tcPr>
          <w:p w:rsidR="0036338E" w:rsidRPr="000563F4" w:rsidRDefault="0036338E" w:rsidP="00782E5C">
            <w:pPr>
              <w:rPr>
                <w:sz w:val="20"/>
                <w:szCs w:val="20"/>
              </w:rPr>
            </w:pPr>
            <w:proofErr w:type="spellStart"/>
            <w:r w:rsidRPr="000563F4">
              <w:rPr>
                <w:sz w:val="20"/>
                <w:szCs w:val="20"/>
              </w:rPr>
              <w:t>Kyrgystan</w:t>
            </w:r>
            <w:proofErr w:type="spellEnd"/>
          </w:p>
        </w:tc>
        <w:tc>
          <w:tcPr>
            <w:tcW w:w="2135" w:type="dxa"/>
          </w:tcPr>
          <w:p w:rsidR="0036338E" w:rsidRPr="000563F4" w:rsidRDefault="0036338E" w:rsidP="00782E5C">
            <w:pPr>
              <w:rPr>
                <w:sz w:val="20"/>
                <w:szCs w:val="20"/>
              </w:rPr>
            </w:pPr>
            <w:proofErr w:type="spellStart"/>
            <w:r w:rsidRPr="000563F4">
              <w:rPr>
                <w:sz w:val="20"/>
                <w:szCs w:val="20"/>
              </w:rPr>
              <w:t>Bakyt</w:t>
            </w:r>
            <w:proofErr w:type="spellEnd"/>
            <w:r w:rsidRPr="000563F4">
              <w:rPr>
                <w:sz w:val="20"/>
                <w:szCs w:val="20"/>
              </w:rPr>
              <w:t xml:space="preserve"> </w:t>
            </w:r>
            <w:proofErr w:type="spellStart"/>
            <w:r w:rsidRPr="000563F4">
              <w:rPr>
                <w:sz w:val="20"/>
                <w:szCs w:val="20"/>
              </w:rPr>
              <w:t>Myrzaliev</w:t>
            </w:r>
            <w:proofErr w:type="spellEnd"/>
          </w:p>
        </w:tc>
        <w:tc>
          <w:tcPr>
            <w:tcW w:w="2144" w:type="dxa"/>
          </w:tcPr>
          <w:p w:rsidR="0036338E" w:rsidRPr="000563F4" w:rsidRDefault="0036338E" w:rsidP="00782E5C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KNCV -</w:t>
            </w:r>
            <w:proofErr w:type="spellStart"/>
            <w:r w:rsidRPr="000563F4">
              <w:rPr>
                <w:sz w:val="20"/>
                <w:szCs w:val="20"/>
              </w:rPr>
              <w:t>Kyrgystan</w:t>
            </w:r>
            <w:proofErr w:type="spellEnd"/>
          </w:p>
        </w:tc>
        <w:tc>
          <w:tcPr>
            <w:tcW w:w="2906" w:type="dxa"/>
          </w:tcPr>
          <w:p w:rsidR="0036338E" w:rsidRPr="000563F4" w:rsidRDefault="00AF3C7F" w:rsidP="00782E5C">
            <w:pPr>
              <w:rPr>
                <w:sz w:val="20"/>
                <w:szCs w:val="20"/>
              </w:rPr>
            </w:pPr>
            <w:hyperlink r:id="rId11" w:history="1">
              <w:r w:rsidR="0036338E" w:rsidRPr="000563F4">
                <w:rPr>
                  <w:rStyle w:val="Hyperlink"/>
                  <w:sz w:val="20"/>
                  <w:szCs w:val="20"/>
                </w:rPr>
                <w:t>bakyt.myrzaliev@kncvtbc.org</w:t>
              </w:r>
            </w:hyperlink>
          </w:p>
        </w:tc>
      </w:tr>
      <w:tr w:rsidR="0036338E" w:rsidRPr="000563F4" w:rsidTr="00782E5C">
        <w:tc>
          <w:tcPr>
            <w:tcW w:w="2165" w:type="dxa"/>
          </w:tcPr>
          <w:p w:rsidR="0036338E" w:rsidRPr="000563F4" w:rsidRDefault="0036338E" w:rsidP="00782E5C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Mozambique</w:t>
            </w:r>
          </w:p>
        </w:tc>
        <w:tc>
          <w:tcPr>
            <w:tcW w:w="2135" w:type="dxa"/>
          </w:tcPr>
          <w:p w:rsidR="0036338E" w:rsidRPr="000563F4" w:rsidRDefault="0036338E" w:rsidP="00782E5C">
            <w:pPr>
              <w:rPr>
                <w:sz w:val="20"/>
                <w:szCs w:val="20"/>
              </w:rPr>
            </w:pPr>
            <w:proofErr w:type="spellStart"/>
            <w:r w:rsidRPr="000563F4">
              <w:rPr>
                <w:sz w:val="20"/>
                <w:szCs w:val="20"/>
              </w:rPr>
              <w:t>Algy</w:t>
            </w:r>
            <w:proofErr w:type="spellEnd"/>
            <w:r w:rsidRPr="000563F4">
              <w:rPr>
                <w:sz w:val="20"/>
                <w:szCs w:val="20"/>
              </w:rPr>
              <w:t xml:space="preserve"> </w:t>
            </w:r>
            <w:proofErr w:type="spellStart"/>
            <w:r w:rsidRPr="000563F4">
              <w:rPr>
                <w:sz w:val="20"/>
                <w:szCs w:val="20"/>
              </w:rPr>
              <w:t>Cassamo</w:t>
            </w:r>
            <w:proofErr w:type="spellEnd"/>
          </w:p>
        </w:tc>
        <w:tc>
          <w:tcPr>
            <w:tcW w:w="2144" w:type="dxa"/>
          </w:tcPr>
          <w:p w:rsidR="0036338E" w:rsidRPr="000563F4" w:rsidRDefault="0036338E" w:rsidP="00782E5C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CTB/FHI360</w:t>
            </w:r>
          </w:p>
        </w:tc>
        <w:tc>
          <w:tcPr>
            <w:tcW w:w="2906" w:type="dxa"/>
          </w:tcPr>
          <w:p w:rsidR="0036338E" w:rsidRPr="000563F4" w:rsidRDefault="00AF3C7F" w:rsidP="00782E5C">
            <w:pPr>
              <w:rPr>
                <w:sz w:val="20"/>
                <w:szCs w:val="20"/>
              </w:rPr>
            </w:pPr>
            <w:hyperlink r:id="rId12" w:history="1">
              <w:r w:rsidR="0036338E" w:rsidRPr="000563F4">
                <w:rPr>
                  <w:rStyle w:val="Hyperlink"/>
                  <w:sz w:val="20"/>
                  <w:szCs w:val="20"/>
                </w:rPr>
                <w:t>aabdula@fhi360.org</w:t>
              </w:r>
            </w:hyperlink>
          </w:p>
        </w:tc>
      </w:tr>
      <w:tr w:rsidR="0036338E" w:rsidRPr="000563F4" w:rsidTr="00782E5C">
        <w:tc>
          <w:tcPr>
            <w:tcW w:w="2165" w:type="dxa"/>
          </w:tcPr>
          <w:p w:rsidR="0036338E" w:rsidRPr="000563F4" w:rsidRDefault="0036338E" w:rsidP="00782E5C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Namibia</w:t>
            </w:r>
          </w:p>
        </w:tc>
        <w:tc>
          <w:tcPr>
            <w:tcW w:w="2135" w:type="dxa"/>
          </w:tcPr>
          <w:p w:rsidR="0036338E" w:rsidRPr="000563F4" w:rsidRDefault="0036338E" w:rsidP="00782E5C">
            <w:pPr>
              <w:rPr>
                <w:sz w:val="20"/>
                <w:szCs w:val="20"/>
              </w:rPr>
            </w:pPr>
            <w:proofErr w:type="spellStart"/>
            <w:r w:rsidRPr="000563F4">
              <w:rPr>
                <w:sz w:val="20"/>
                <w:szCs w:val="20"/>
              </w:rPr>
              <w:t>Nunura</w:t>
            </w:r>
            <w:proofErr w:type="spellEnd"/>
            <w:r w:rsidRPr="000563F4">
              <w:rPr>
                <w:sz w:val="20"/>
                <w:szCs w:val="20"/>
              </w:rPr>
              <w:t xml:space="preserve"> </w:t>
            </w:r>
            <w:proofErr w:type="spellStart"/>
            <w:r w:rsidRPr="000563F4">
              <w:rPr>
                <w:sz w:val="20"/>
                <w:szCs w:val="20"/>
              </w:rPr>
              <w:t>Ruswa</w:t>
            </w:r>
            <w:proofErr w:type="spellEnd"/>
          </w:p>
        </w:tc>
        <w:tc>
          <w:tcPr>
            <w:tcW w:w="2144" w:type="dxa"/>
          </w:tcPr>
          <w:p w:rsidR="0036338E" w:rsidRPr="000563F4" w:rsidRDefault="0036338E" w:rsidP="00782E5C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NTP/KNCV</w:t>
            </w:r>
          </w:p>
        </w:tc>
        <w:tc>
          <w:tcPr>
            <w:tcW w:w="2906" w:type="dxa"/>
          </w:tcPr>
          <w:p w:rsidR="0036338E" w:rsidRPr="000563F4" w:rsidRDefault="00AF3C7F" w:rsidP="00782E5C">
            <w:pPr>
              <w:rPr>
                <w:sz w:val="20"/>
                <w:szCs w:val="20"/>
              </w:rPr>
            </w:pPr>
            <w:hyperlink r:id="rId13" w:history="1">
              <w:r w:rsidR="0036338E" w:rsidRPr="000563F4">
                <w:rPr>
                  <w:rStyle w:val="Hyperlink"/>
                  <w:sz w:val="20"/>
                  <w:szCs w:val="20"/>
                </w:rPr>
                <w:t>ncruswa@gmail.com</w:t>
              </w:r>
            </w:hyperlink>
            <w:r w:rsidR="0036338E" w:rsidRPr="000563F4">
              <w:rPr>
                <w:sz w:val="20"/>
                <w:szCs w:val="20"/>
              </w:rPr>
              <w:t xml:space="preserve"> </w:t>
            </w:r>
          </w:p>
        </w:tc>
      </w:tr>
      <w:tr w:rsidR="00611E89" w:rsidRPr="000563F4" w:rsidTr="00AC1F97">
        <w:tc>
          <w:tcPr>
            <w:tcW w:w="2165" w:type="dxa"/>
            <w:vMerge w:val="restart"/>
          </w:tcPr>
          <w:p w:rsidR="00611E89" w:rsidRPr="000563F4" w:rsidRDefault="00611E89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U</w:t>
            </w:r>
            <w:r w:rsidR="0036338E" w:rsidRPr="000563F4">
              <w:rPr>
                <w:sz w:val="20"/>
                <w:szCs w:val="20"/>
              </w:rPr>
              <w:t>kraine</w:t>
            </w:r>
          </w:p>
        </w:tc>
        <w:tc>
          <w:tcPr>
            <w:tcW w:w="2135" w:type="dxa"/>
          </w:tcPr>
          <w:p w:rsidR="00611E89" w:rsidRPr="000563F4" w:rsidRDefault="00611E89">
            <w:pPr>
              <w:rPr>
                <w:sz w:val="20"/>
                <w:szCs w:val="20"/>
              </w:rPr>
            </w:pPr>
            <w:proofErr w:type="spellStart"/>
            <w:r w:rsidRPr="000563F4">
              <w:rPr>
                <w:sz w:val="20"/>
                <w:szCs w:val="20"/>
              </w:rPr>
              <w:t>Kateryna</w:t>
            </w:r>
            <w:proofErr w:type="spellEnd"/>
            <w:r w:rsidRPr="000563F4">
              <w:rPr>
                <w:sz w:val="20"/>
                <w:szCs w:val="20"/>
              </w:rPr>
              <w:t xml:space="preserve"> </w:t>
            </w:r>
            <w:proofErr w:type="spellStart"/>
            <w:r w:rsidRPr="000563F4">
              <w:rPr>
                <w:sz w:val="20"/>
                <w:szCs w:val="20"/>
              </w:rPr>
              <w:t>Gamazina</w:t>
            </w:r>
            <w:proofErr w:type="spellEnd"/>
          </w:p>
        </w:tc>
        <w:tc>
          <w:tcPr>
            <w:tcW w:w="2144" w:type="dxa"/>
          </w:tcPr>
          <w:p w:rsidR="00611E89" w:rsidRPr="000563F4" w:rsidRDefault="00611E89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PATH</w:t>
            </w:r>
          </w:p>
        </w:tc>
        <w:tc>
          <w:tcPr>
            <w:tcW w:w="2906" w:type="dxa"/>
          </w:tcPr>
          <w:p w:rsidR="00611E89" w:rsidRPr="000563F4" w:rsidRDefault="00AF3C7F">
            <w:pPr>
              <w:rPr>
                <w:sz w:val="20"/>
                <w:szCs w:val="20"/>
              </w:rPr>
            </w:pPr>
            <w:hyperlink r:id="rId14" w:history="1">
              <w:r w:rsidR="00611E89" w:rsidRPr="000563F4">
                <w:rPr>
                  <w:rStyle w:val="Hyperlink"/>
                  <w:sz w:val="20"/>
                  <w:szCs w:val="20"/>
                </w:rPr>
                <w:t>kgamazina@path.org</w:t>
              </w:r>
            </w:hyperlink>
          </w:p>
        </w:tc>
      </w:tr>
      <w:tr w:rsidR="00611E89" w:rsidRPr="000563F4" w:rsidTr="00AC1F97">
        <w:tc>
          <w:tcPr>
            <w:tcW w:w="2165" w:type="dxa"/>
            <w:vMerge/>
          </w:tcPr>
          <w:p w:rsidR="00611E89" w:rsidRPr="000563F4" w:rsidRDefault="00611E8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611E89" w:rsidRPr="000563F4" w:rsidRDefault="00611E89">
            <w:pPr>
              <w:rPr>
                <w:sz w:val="20"/>
                <w:szCs w:val="20"/>
              </w:rPr>
            </w:pPr>
            <w:proofErr w:type="spellStart"/>
            <w:r w:rsidRPr="000563F4">
              <w:rPr>
                <w:sz w:val="20"/>
                <w:szCs w:val="20"/>
              </w:rPr>
              <w:t>B</w:t>
            </w:r>
            <w:r w:rsidR="00AC1F97" w:rsidRPr="000563F4">
              <w:rPr>
                <w:sz w:val="20"/>
                <w:szCs w:val="20"/>
              </w:rPr>
              <w:t>o</w:t>
            </w:r>
            <w:r w:rsidRPr="000563F4">
              <w:rPr>
                <w:sz w:val="20"/>
                <w:szCs w:val="20"/>
              </w:rPr>
              <w:t>gdanov</w:t>
            </w:r>
            <w:proofErr w:type="spellEnd"/>
            <w:r w:rsidRPr="000563F4">
              <w:rPr>
                <w:sz w:val="20"/>
                <w:szCs w:val="20"/>
              </w:rPr>
              <w:t xml:space="preserve"> Aleksey</w:t>
            </w:r>
          </w:p>
        </w:tc>
        <w:tc>
          <w:tcPr>
            <w:tcW w:w="2144" w:type="dxa"/>
          </w:tcPr>
          <w:p w:rsidR="00611E89" w:rsidRPr="000563F4" w:rsidRDefault="00611E89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PATH</w:t>
            </w:r>
          </w:p>
        </w:tc>
        <w:tc>
          <w:tcPr>
            <w:tcW w:w="2906" w:type="dxa"/>
          </w:tcPr>
          <w:p w:rsidR="00AC1F97" w:rsidRPr="000563F4" w:rsidRDefault="00AF3C7F">
            <w:pPr>
              <w:rPr>
                <w:sz w:val="20"/>
                <w:szCs w:val="20"/>
              </w:rPr>
            </w:pPr>
            <w:hyperlink r:id="rId15" w:history="1">
              <w:r w:rsidR="00AC1F97" w:rsidRPr="000563F4">
                <w:rPr>
                  <w:rStyle w:val="Hyperlink"/>
                  <w:sz w:val="20"/>
                  <w:szCs w:val="20"/>
                </w:rPr>
                <w:t>abogdanov@path.org</w:t>
              </w:r>
            </w:hyperlink>
          </w:p>
        </w:tc>
      </w:tr>
      <w:tr w:rsidR="00611E89" w:rsidRPr="000563F4" w:rsidTr="00AC1F97">
        <w:trPr>
          <w:trHeight w:val="58"/>
        </w:trPr>
        <w:tc>
          <w:tcPr>
            <w:tcW w:w="2165" w:type="dxa"/>
            <w:vMerge/>
          </w:tcPr>
          <w:p w:rsidR="00611E89" w:rsidRPr="000563F4" w:rsidRDefault="00611E8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611E89" w:rsidRPr="000563F4" w:rsidRDefault="00611E89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Olga Pavlova</w:t>
            </w:r>
          </w:p>
        </w:tc>
        <w:tc>
          <w:tcPr>
            <w:tcW w:w="2144" w:type="dxa"/>
          </w:tcPr>
          <w:p w:rsidR="00611E89" w:rsidRPr="000563F4" w:rsidRDefault="00AC1F97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CTB/</w:t>
            </w:r>
            <w:r w:rsidR="00611E89" w:rsidRPr="000563F4">
              <w:rPr>
                <w:sz w:val="20"/>
                <w:szCs w:val="20"/>
              </w:rPr>
              <w:t>PATH</w:t>
            </w:r>
          </w:p>
        </w:tc>
        <w:tc>
          <w:tcPr>
            <w:tcW w:w="2906" w:type="dxa"/>
          </w:tcPr>
          <w:p w:rsidR="00611E89" w:rsidRPr="000563F4" w:rsidRDefault="00AF3C7F">
            <w:pPr>
              <w:rPr>
                <w:sz w:val="20"/>
                <w:szCs w:val="20"/>
              </w:rPr>
            </w:pPr>
            <w:hyperlink r:id="rId16" w:history="1">
              <w:r w:rsidR="0036338E" w:rsidRPr="000563F4">
                <w:rPr>
                  <w:rStyle w:val="Hyperlink"/>
                  <w:sz w:val="20"/>
                  <w:szCs w:val="20"/>
                </w:rPr>
                <w:t>opavlova@path.org</w:t>
              </w:r>
            </w:hyperlink>
            <w:r w:rsidR="0036338E" w:rsidRPr="000563F4">
              <w:rPr>
                <w:sz w:val="20"/>
                <w:szCs w:val="20"/>
              </w:rPr>
              <w:t xml:space="preserve"> </w:t>
            </w:r>
          </w:p>
        </w:tc>
      </w:tr>
      <w:tr w:rsidR="00611E89" w:rsidRPr="000563F4" w:rsidTr="00AC1F97">
        <w:tc>
          <w:tcPr>
            <w:tcW w:w="2165" w:type="dxa"/>
            <w:vMerge/>
          </w:tcPr>
          <w:p w:rsidR="00611E89" w:rsidRPr="000563F4" w:rsidRDefault="00611E8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611E89" w:rsidRPr="000563F4" w:rsidRDefault="00611E89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 xml:space="preserve">Erika </w:t>
            </w:r>
            <w:proofErr w:type="spellStart"/>
            <w:r w:rsidRPr="000563F4">
              <w:rPr>
                <w:sz w:val="20"/>
                <w:szCs w:val="20"/>
              </w:rPr>
              <w:t>V</w:t>
            </w:r>
            <w:r w:rsidR="005E4905" w:rsidRPr="000563F4">
              <w:rPr>
                <w:sz w:val="20"/>
                <w:szCs w:val="20"/>
              </w:rPr>
              <w:t>i</w:t>
            </w:r>
            <w:r w:rsidRPr="000563F4">
              <w:rPr>
                <w:sz w:val="20"/>
                <w:szCs w:val="20"/>
              </w:rPr>
              <w:t>tek</w:t>
            </w:r>
            <w:proofErr w:type="spellEnd"/>
          </w:p>
        </w:tc>
        <w:tc>
          <w:tcPr>
            <w:tcW w:w="2144" w:type="dxa"/>
          </w:tcPr>
          <w:p w:rsidR="00611E89" w:rsidRPr="000563F4" w:rsidRDefault="0031191A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USAID</w:t>
            </w:r>
          </w:p>
        </w:tc>
        <w:tc>
          <w:tcPr>
            <w:tcW w:w="2906" w:type="dxa"/>
          </w:tcPr>
          <w:p w:rsidR="00611E89" w:rsidRPr="000563F4" w:rsidRDefault="00AF3C7F">
            <w:pPr>
              <w:rPr>
                <w:sz w:val="20"/>
                <w:szCs w:val="20"/>
              </w:rPr>
            </w:pPr>
            <w:hyperlink r:id="rId17" w:history="1">
              <w:r w:rsidR="005E4905" w:rsidRPr="000563F4">
                <w:rPr>
                  <w:rStyle w:val="Hyperlink"/>
                  <w:sz w:val="20"/>
                  <w:szCs w:val="20"/>
                </w:rPr>
                <w:t>evitek@usaid.gov</w:t>
              </w:r>
            </w:hyperlink>
          </w:p>
        </w:tc>
      </w:tr>
      <w:tr w:rsidR="00611E89" w:rsidRPr="000563F4" w:rsidTr="00AC1F97">
        <w:tc>
          <w:tcPr>
            <w:tcW w:w="2165" w:type="dxa"/>
            <w:vMerge/>
          </w:tcPr>
          <w:p w:rsidR="00611E89" w:rsidRPr="000563F4" w:rsidRDefault="00611E8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611E89" w:rsidRPr="000563F4" w:rsidRDefault="00611E89">
            <w:pPr>
              <w:rPr>
                <w:sz w:val="20"/>
                <w:szCs w:val="20"/>
              </w:rPr>
            </w:pPr>
            <w:proofErr w:type="spellStart"/>
            <w:r w:rsidRPr="000563F4">
              <w:rPr>
                <w:sz w:val="20"/>
                <w:szCs w:val="20"/>
              </w:rPr>
              <w:t>Natali</w:t>
            </w:r>
            <w:r w:rsidR="00AC1F97" w:rsidRPr="000563F4">
              <w:rPr>
                <w:sz w:val="20"/>
                <w:szCs w:val="20"/>
              </w:rPr>
              <w:t>ia</w:t>
            </w:r>
            <w:proofErr w:type="spellEnd"/>
            <w:r w:rsidRPr="000563F4">
              <w:rPr>
                <w:sz w:val="20"/>
                <w:szCs w:val="20"/>
              </w:rPr>
              <w:t xml:space="preserve"> </w:t>
            </w:r>
            <w:proofErr w:type="spellStart"/>
            <w:r w:rsidRPr="000563F4">
              <w:rPr>
                <w:sz w:val="20"/>
                <w:szCs w:val="20"/>
              </w:rPr>
              <w:t>Lytvynenko</w:t>
            </w:r>
            <w:proofErr w:type="spellEnd"/>
          </w:p>
        </w:tc>
        <w:tc>
          <w:tcPr>
            <w:tcW w:w="2144" w:type="dxa"/>
          </w:tcPr>
          <w:p w:rsidR="00611E89" w:rsidRPr="000563F4" w:rsidRDefault="00611E89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PATH, Nat’l TB Inst</w:t>
            </w:r>
          </w:p>
        </w:tc>
        <w:tc>
          <w:tcPr>
            <w:tcW w:w="2906" w:type="dxa"/>
          </w:tcPr>
          <w:p w:rsidR="00611E89" w:rsidRPr="000563F4" w:rsidRDefault="00AF3C7F">
            <w:pPr>
              <w:rPr>
                <w:sz w:val="20"/>
                <w:szCs w:val="20"/>
              </w:rPr>
            </w:pPr>
            <w:hyperlink r:id="rId18" w:history="1">
              <w:r w:rsidR="00611E89" w:rsidRPr="000563F4">
                <w:rPr>
                  <w:rStyle w:val="Hyperlink"/>
                  <w:sz w:val="20"/>
                  <w:szCs w:val="20"/>
                </w:rPr>
                <w:t>drnlytvynenko@gmail.com</w:t>
              </w:r>
            </w:hyperlink>
          </w:p>
        </w:tc>
      </w:tr>
      <w:tr w:rsidR="00611E89" w:rsidRPr="000563F4" w:rsidTr="00AC1F97">
        <w:tc>
          <w:tcPr>
            <w:tcW w:w="2165" w:type="dxa"/>
          </w:tcPr>
          <w:p w:rsidR="00611E89" w:rsidRPr="000563F4" w:rsidRDefault="00611E89" w:rsidP="00611E89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 xml:space="preserve">GDI Research Task Force </w:t>
            </w:r>
            <w:r w:rsidR="0036338E" w:rsidRPr="000563F4">
              <w:rPr>
                <w:sz w:val="20"/>
                <w:szCs w:val="20"/>
              </w:rPr>
              <w:t>/ KNCV</w:t>
            </w:r>
          </w:p>
        </w:tc>
        <w:tc>
          <w:tcPr>
            <w:tcW w:w="2135" w:type="dxa"/>
          </w:tcPr>
          <w:p w:rsidR="00611E89" w:rsidRPr="000563F4" w:rsidRDefault="00611E89" w:rsidP="00611E89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 xml:space="preserve">Agnes </w:t>
            </w:r>
            <w:proofErr w:type="spellStart"/>
            <w:r w:rsidRPr="000563F4">
              <w:rPr>
                <w:sz w:val="20"/>
                <w:szCs w:val="20"/>
              </w:rPr>
              <w:t>Gebhard</w:t>
            </w:r>
            <w:proofErr w:type="spellEnd"/>
          </w:p>
        </w:tc>
        <w:tc>
          <w:tcPr>
            <w:tcW w:w="2144" w:type="dxa"/>
          </w:tcPr>
          <w:p w:rsidR="00611E89" w:rsidRPr="000563F4" w:rsidRDefault="00611E89" w:rsidP="00611E89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GDI</w:t>
            </w:r>
            <w:r w:rsidR="0036338E" w:rsidRPr="000563F4">
              <w:rPr>
                <w:sz w:val="20"/>
                <w:szCs w:val="20"/>
              </w:rPr>
              <w:t>/KNCV Indonesia</w:t>
            </w:r>
          </w:p>
        </w:tc>
        <w:tc>
          <w:tcPr>
            <w:tcW w:w="2906" w:type="dxa"/>
          </w:tcPr>
          <w:p w:rsidR="00611E89" w:rsidRPr="000563F4" w:rsidRDefault="00AF3C7F" w:rsidP="00611E89">
            <w:pPr>
              <w:rPr>
                <w:sz w:val="20"/>
                <w:szCs w:val="20"/>
              </w:rPr>
            </w:pPr>
            <w:hyperlink r:id="rId19" w:history="1">
              <w:r w:rsidR="0036338E" w:rsidRPr="000563F4">
                <w:rPr>
                  <w:rStyle w:val="Hyperlink"/>
                  <w:sz w:val="20"/>
                  <w:szCs w:val="20"/>
                </w:rPr>
                <w:t>agnes.gebhard@kncvtbc.org</w:t>
              </w:r>
            </w:hyperlink>
            <w:r w:rsidR="0036338E" w:rsidRPr="000563F4">
              <w:rPr>
                <w:sz w:val="20"/>
                <w:szCs w:val="20"/>
              </w:rPr>
              <w:t xml:space="preserve">  </w:t>
            </w:r>
          </w:p>
        </w:tc>
      </w:tr>
      <w:tr w:rsidR="00611E89" w:rsidRPr="000563F4" w:rsidTr="00AC1F97">
        <w:tc>
          <w:tcPr>
            <w:tcW w:w="2165" w:type="dxa"/>
          </w:tcPr>
          <w:p w:rsidR="00611E89" w:rsidRPr="000563F4" w:rsidRDefault="00611E89" w:rsidP="00611E89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KNCV</w:t>
            </w:r>
          </w:p>
        </w:tc>
        <w:tc>
          <w:tcPr>
            <w:tcW w:w="2135" w:type="dxa"/>
          </w:tcPr>
          <w:p w:rsidR="00611E89" w:rsidRPr="000563F4" w:rsidRDefault="00611E89" w:rsidP="00611E89">
            <w:pPr>
              <w:rPr>
                <w:sz w:val="20"/>
                <w:szCs w:val="20"/>
              </w:rPr>
            </w:pPr>
            <w:proofErr w:type="spellStart"/>
            <w:r w:rsidRPr="000563F4">
              <w:rPr>
                <w:sz w:val="20"/>
                <w:szCs w:val="20"/>
              </w:rPr>
              <w:t>Mamel</w:t>
            </w:r>
            <w:proofErr w:type="spellEnd"/>
            <w:r w:rsidRPr="000563F4">
              <w:rPr>
                <w:sz w:val="20"/>
                <w:szCs w:val="20"/>
              </w:rPr>
              <w:t xml:space="preserve"> </w:t>
            </w:r>
            <w:proofErr w:type="spellStart"/>
            <w:r w:rsidRPr="000563F4">
              <w:rPr>
                <w:sz w:val="20"/>
                <w:szCs w:val="20"/>
              </w:rPr>
              <w:t>Quelapio</w:t>
            </w:r>
            <w:proofErr w:type="spellEnd"/>
            <w:r w:rsidRPr="000563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4" w:type="dxa"/>
          </w:tcPr>
          <w:p w:rsidR="00611E89" w:rsidRPr="000563F4" w:rsidRDefault="00611E89" w:rsidP="00611E89">
            <w:pPr>
              <w:rPr>
                <w:sz w:val="20"/>
                <w:szCs w:val="20"/>
              </w:rPr>
            </w:pPr>
            <w:r w:rsidRPr="000563F4">
              <w:rPr>
                <w:sz w:val="20"/>
                <w:szCs w:val="20"/>
              </w:rPr>
              <w:t>KNCV-HQ</w:t>
            </w:r>
          </w:p>
        </w:tc>
        <w:tc>
          <w:tcPr>
            <w:tcW w:w="2906" w:type="dxa"/>
          </w:tcPr>
          <w:p w:rsidR="00611E89" w:rsidRPr="000563F4" w:rsidRDefault="00AF3C7F" w:rsidP="00611E89">
            <w:pPr>
              <w:rPr>
                <w:sz w:val="20"/>
                <w:szCs w:val="20"/>
              </w:rPr>
            </w:pPr>
            <w:hyperlink r:id="rId20" w:history="1">
              <w:r w:rsidR="0036338E" w:rsidRPr="000563F4">
                <w:rPr>
                  <w:rStyle w:val="Hyperlink"/>
                  <w:sz w:val="20"/>
                  <w:szCs w:val="20"/>
                </w:rPr>
                <w:t>mamel.quelapio@kncvtbc.org</w:t>
              </w:r>
            </w:hyperlink>
          </w:p>
        </w:tc>
      </w:tr>
    </w:tbl>
    <w:p w:rsidR="003E6B17" w:rsidRDefault="003E6B17" w:rsidP="003C7ACB"/>
    <w:sectPr w:rsidR="003E6B17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7F" w:rsidRDefault="00AF3C7F" w:rsidP="0062578E">
      <w:pPr>
        <w:spacing w:after="0" w:line="240" w:lineRule="auto"/>
      </w:pPr>
      <w:r>
        <w:separator/>
      </w:r>
    </w:p>
  </w:endnote>
  <w:endnote w:type="continuationSeparator" w:id="0">
    <w:p w:rsidR="00AF3C7F" w:rsidRDefault="00AF3C7F" w:rsidP="0062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850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78E" w:rsidRDefault="0062578E" w:rsidP="0062578E">
        <w:pPr>
          <w:pStyle w:val="Footer"/>
          <w:tabs>
            <w:tab w:val="left" w:pos="3870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2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578E" w:rsidRDefault="00625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7F" w:rsidRDefault="00AF3C7F" w:rsidP="0062578E">
      <w:pPr>
        <w:spacing w:after="0" w:line="240" w:lineRule="auto"/>
      </w:pPr>
      <w:r>
        <w:separator/>
      </w:r>
    </w:p>
  </w:footnote>
  <w:footnote w:type="continuationSeparator" w:id="0">
    <w:p w:rsidR="00AF3C7F" w:rsidRDefault="00AF3C7F" w:rsidP="0062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0713"/>
    <w:multiLevelType w:val="hybridMultilevel"/>
    <w:tmpl w:val="A47A8A82"/>
    <w:lvl w:ilvl="0" w:tplc="08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7460AF8"/>
    <w:multiLevelType w:val="hybridMultilevel"/>
    <w:tmpl w:val="869EC3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6F01DE"/>
    <w:multiLevelType w:val="hybridMultilevel"/>
    <w:tmpl w:val="7376D090"/>
    <w:lvl w:ilvl="0" w:tplc="40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1A7C"/>
    <w:multiLevelType w:val="hybridMultilevel"/>
    <w:tmpl w:val="286E5B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17"/>
    <w:rsid w:val="0002428D"/>
    <w:rsid w:val="000563F4"/>
    <w:rsid w:val="000B24BA"/>
    <w:rsid w:val="000B76D5"/>
    <w:rsid w:val="00214469"/>
    <w:rsid w:val="00292F29"/>
    <w:rsid w:val="0031191A"/>
    <w:rsid w:val="003306B3"/>
    <w:rsid w:val="0036338E"/>
    <w:rsid w:val="003C7ACB"/>
    <w:rsid w:val="003E6B17"/>
    <w:rsid w:val="0040339F"/>
    <w:rsid w:val="004826A8"/>
    <w:rsid w:val="00483D4E"/>
    <w:rsid w:val="0048496A"/>
    <w:rsid w:val="004F6997"/>
    <w:rsid w:val="005048E1"/>
    <w:rsid w:val="005734CF"/>
    <w:rsid w:val="005819A0"/>
    <w:rsid w:val="005A0A7D"/>
    <w:rsid w:val="005B5C74"/>
    <w:rsid w:val="005D7084"/>
    <w:rsid w:val="005E4905"/>
    <w:rsid w:val="005E5756"/>
    <w:rsid w:val="00611E89"/>
    <w:rsid w:val="0062578E"/>
    <w:rsid w:val="00641988"/>
    <w:rsid w:val="00693D20"/>
    <w:rsid w:val="006F22E3"/>
    <w:rsid w:val="0071254E"/>
    <w:rsid w:val="00756199"/>
    <w:rsid w:val="008044D2"/>
    <w:rsid w:val="008B798E"/>
    <w:rsid w:val="00972A3A"/>
    <w:rsid w:val="00980623"/>
    <w:rsid w:val="00A71908"/>
    <w:rsid w:val="00A944E1"/>
    <w:rsid w:val="00AA61E0"/>
    <w:rsid w:val="00AC1F97"/>
    <w:rsid w:val="00AD0241"/>
    <w:rsid w:val="00AF2DD4"/>
    <w:rsid w:val="00AF3C7F"/>
    <w:rsid w:val="00B02027"/>
    <w:rsid w:val="00B477C8"/>
    <w:rsid w:val="00B97042"/>
    <w:rsid w:val="00BC5F4E"/>
    <w:rsid w:val="00BC7E75"/>
    <w:rsid w:val="00BF6A49"/>
    <w:rsid w:val="00C07428"/>
    <w:rsid w:val="00C300A9"/>
    <w:rsid w:val="00CE7257"/>
    <w:rsid w:val="00D47341"/>
    <w:rsid w:val="00E2205D"/>
    <w:rsid w:val="00E83CBC"/>
    <w:rsid w:val="00EC1145"/>
    <w:rsid w:val="00ED3423"/>
    <w:rsid w:val="00F34388"/>
    <w:rsid w:val="00F7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B5BA"/>
  <w15:chartTrackingRefBased/>
  <w15:docId w15:val="{8FF62955-3BD6-45FB-992A-646D913F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B1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C1F9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662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8E"/>
  </w:style>
  <w:style w:type="paragraph" w:styleId="Footer">
    <w:name w:val="footer"/>
    <w:basedOn w:val="Normal"/>
    <w:link w:val="FooterChar"/>
    <w:uiPriority w:val="99"/>
    <w:unhideWhenUsed/>
    <w:rsid w:val="00625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elch@msh.org" TargetMode="External"/><Relationship Id="rId13" Type="http://schemas.openxmlformats.org/officeDocument/2006/relationships/hyperlink" Target="mailto:ncruswa@gmail.com" TargetMode="External"/><Relationship Id="rId18" Type="http://schemas.openxmlformats.org/officeDocument/2006/relationships/hyperlink" Target="mailto:drnlytvynenko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abdula@fhi360.org" TargetMode="External"/><Relationship Id="rId17" Type="http://schemas.openxmlformats.org/officeDocument/2006/relationships/hyperlink" Target="mailto:evitek@usaid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pavlova@path.org" TargetMode="External"/><Relationship Id="rId20" Type="http://schemas.openxmlformats.org/officeDocument/2006/relationships/hyperlink" Target="mailto:mamel.quelapio@kncvtb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kyt.myrzaliev@kncvtb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ogdanov@path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ey.sonata@kncvtbc.org" TargetMode="External"/><Relationship Id="rId19" Type="http://schemas.openxmlformats.org/officeDocument/2006/relationships/hyperlink" Target="mailto:agnes.gebhard@kncvtb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ora@theunion.org" TargetMode="External"/><Relationship Id="rId14" Type="http://schemas.openxmlformats.org/officeDocument/2006/relationships/hyperlink" Target="mailto:kgamazina@path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22AFE-2D37-4B07-BF02-E2C4FDAC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Mamel Quelapio</dc:creator>
  <cp:keywords/>
  <dc:description/>
  <cp:lastModifiedBy>Mamel Quelapio</cp:lastModifiedBy>
  <cp:revision>36</cp:revision>
  <dcterms:created xsi:type="dcterms:W3CDTF">2016-11-07T10:55:00Z</dcterms:created>
  <dcterms:modified xsi:type="dcterms:W3CDTF">2017-03-29T06:41:00Z</dcterms:modified>
</cp:coreProperties>
</file>